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p>
    <w:p>
      <w:pPr>
        <w:pStyle w:val="9"/>
        <w:spacing w:line="360" w:lineRule="auto"/>
        <w:ind w:left="-28" w:firstLine="25" w:firstLineChars="7"/>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pPr>
        <w:pStyle w:val="9"/>
      </w:pPr>
    </w:p>
    <w:p>
      <w:pPr>
        <w:pStyle w:val="9"/>
        <w:ind w:left="0" w:leftChars="0" w:right="0" w:rightChars="0" w:firstLine="0" w:firstLineChars="0"/>
        <w:jc w:val="center"/>
        <w:rPr>
          <w:rFonts w:ascii="宋体" w:hAnsi="宋体"/>
          <w:b/>
          <w:sz w:val="36"/>
          <w:szCs w:val="36"/>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14"/>
                    <a:stretch>
                      <a:fillRect/>
                    </a:stretch>
                  </pic:blipFill>
                  <pic:spPr>
                    <a:xfrm>
                      <a:off x="0" y="0"/>
                      <a:ext cx="1600835" cy="1350010"/>
                    </a:xfrm>
                    <a:prstGeom prst="rect">
                      <a:avLst/>
                    </a:prstGeom>
                    <a:noFill/>
                    <a:ln>
                      <a:noFill/>
                    </a:ln>
                  </pic:spPr>
                </pic:pic>
              </a:graphicData>
            </a:graphic>
          </wp:inline>
        </w:drawing>
      </w:r>
    </w:p>
    <w:p>
      <w:pPr>
        <w:pStyle w:val="9"/>
        <w:ind w:left="0" w:leftChars="0" w:right="0" w:rightChars="0" w:firstLine="0" w:firstLineChars="0"/>
        <w:jc w:val="center"/>
        <w:rPr>
          <w:rFonts w:ascii="宋体" w:hAnsi="宋体"/>
          <w:b/>
          <w:sz w:val="36"/>
          <w:szCs w:val="36"/>
        </w:rPr>
      </w:pPr>
    </w:p>
    <w:p>
      <w:pPr>
        <w:pStyle w:val="9"/>
        <w:spacing w:line="360" w:lineRule="auto"/>
        <w:ind w:left="-28" w:firstLine="0" w:firstLineChars="0"/>
        <w:jc w:val="center"/>
        <w:rPr>
          <w:rFonts w:hint="eastAsia" w:ascii="宋体" w:hAnsi="宋体" w:eastAsia="宋体" w:cs="宋体"/>
          <w:b/>
          <w:sz w:val="52"/>
          <w:szCs w:val="52"/>
        </w:rPr>
      </w:pPr>
      <w:r>
        <w:rPr>
          <w:rFonts w:hint="eastAsia" w:ascii="宋体" w:hAnsi="宋体" w:eastAsia="宋体" w:cs="宋体"/>
          <w:b/>
          <w:sz w:val="52"/>
          <w:szCs w:val="52"/>
        </w:rPr>
        <w:t>块石采购招标文件</w:t>
      </w:r>
    </w:p>
    <w:p>
      <w:pPr>
        <w:pStyle w:val="9"/>
        <w:ind w:firstLine="0" w:firstLineChars="0"/>
        <w:jc w:val="center"/>
        <w:rPr>
          <w:rFonts w:cs="宋体"/>
        </w:rPr>
      </w:pPr>
    </w:p>
    <w:p>
      <w:pPr>
        <w:pStyle w:val="9"/>
      </w:pPr>
    </w:p>
    <w:p>
      <w:pPr>
        <w:pStyle w:val="9"/>
      </w:pPr>
    </w:p>
    <w:p>
      <w:pPr>
        <w:pStyle w:val="9"/>
        <w:ind w:left="0" w:leftChars="0" w:firstLine="0" w:firstLineChars="0"/>
      </w:pPr>
    </w:p>
    <w:p>
      <w:pPr>
        <w:pStyle w:val="9"/>
        <w:ind w:left="0" w:leftChars="0" w:firstLine="0" w:firstLineChars="0"/>
      </w:pPr>
    </w:p>
    <w:p>
      <w:pPr>
        <w:pStyle w:val="9"/>
      </w:pPr>
    </w:p>
    <w:p>
      <w:pPr>
        <w:pStyle w:val="9"/>
      </w:pPr>
    </w:p>
    <w:p>
      <w:pPr>
        <w:keepNext w:val="0"/>
        <w:keepLines w:val="0"/>
        <w:pageBreakBefore w:val="0"/>
        <w:widowControl/>
        <w:kinsoku/>
        <w:wordWrap/>
        <w:overflowPunct/>
        <w:topLinePunct w:val="0"/>
        <w:autoSpaceDE/>
        <w:autoSpaceDN/>
        <w:bidi w:val="0"/>
        <w:adjustRightInd/>
        <w:spacing w:line="480" w:lineRule="auto"/>
        <w:ind w:left="0" w:leftChars="0" w:firstLine="379" w:firstLineChars="135"/>
        <w:jc w:val="both"/>
        <w:textAlignment w:val="auto"/>
        <w:rPr>
          <w:rFonts w:hint="eastAsia" w:ascii="宋体" w:hAnsi="宋体" w:eastAsia="宋体" w:cs="方正仿宋_GB18030"/>
          <w:b/>
          <w:bCs/>
          <w:color w:val="000000"/>
          <w:sz w:val="28"/>
          <w:szCs w:val="36"/>
        </w:rPr>
      </w:pPr>
      <w:r>
        <w:rPr>
          <w:rFonts w:hint="eastAsia" w:ascii="宋体" w:hAnsi="宋体" w:eastAsia="宋体" w:cs="方正仿宋_GB18030"/>
          <w:b/>
          <w:bCs/>
          <w:color w:val="000000"/>
          <w:sz w:val="28"/>
          <w:szCs w:val="36"/>
        </w:rPr>
        <w:t>招标项目：淮淮河入海水道二期工程盐城市境内河道工程施工</w:t>
      </w:r>
      <w:r>
        <w:rPr>
          <w:rFonts w:hint="eastAsia" w:ascii="宋体" w:hAnsi="宋体" w:eastAsia="宋体" w:cs="方正仿宋_GB18030"/>
          <w:b/>
          <w:bCs/>
          <w:color w:val="000000"/>
          <w:sz w:val="28"/>
          <w:szCs w:val="36"/>
          <w:lang w:val="en-US" w:eastAsia="zh-CN"/>
        </w:rPr>
        <w:t>17</w:t>
      </w:r>
      <w:r>
        <w:rPr>
          <w:rFonts w:hint="eastAsia" w:ascii="宋体" w:hAnsi="宋体" w:eastAsia="宋体" w:cs="方正仿宋_GB18030"/>
          <w:b/>
          <w:bCs/>
          <w:color w:val="000000"/>
          <w:sz w:val="28"/>
          <w:szCs w:val="36"/>
        </w:rPr>
        <w:t>标</w:t>
      </w:r>
    </w:p>
    <w:p>
      <w:pPr>
        <w:keepNext w:val="0"/>
        <w:keepLines w:val="0"/>
        <w:pageBreakBefore w:val="0"/>
        <w:widowControl/>
        <w:kinsoku/>
        <w:wordWrap/>
        <w:overflowPunct/>
        <w:topLinePunct w:val="0"/>
        <w:autoSpaceDE/>
        <w:autoSpaceDN/>
        <w:bidi w:val="0"/>
        <w:adjustRightInd/>
        <w:spacing w:line="480" w:lineRule="auto"/>
        <w:ind w:left="0" w:leftChars="0" w:firstLine="1777" w:firstLineChars="632"/>
        <w:jc w:val="both"/>
        <w:textAlignment w:val="auto"/>
        <w:rPr>
          <w:rFonts w:hint="eastAsia" w:cs="方正仿宋_GB18030"/>
          <w:b/>
          <w:bCs/>
          <w:sz w:val="28"/>
          <w:szCs w:val="36"/>
        </w:rPr>
      </w:pPr>
      <w:r>
        <w:rPr>
          <w:rFonts w:hint="eastAsia" w:ascii="宋体" w:hAnsi="宋体" w:eastAsia="宋体" w:cs="方正仿宋_GB18030"/>
          <w:b/>
          <w:bCs/>
          <w:color w:val="000000"/>
          <w:sz w:val="28"/>
          <w:szCs w:val="36"/>
        </w:rPr>
        <w:t>（桩号</w:t>
      </w:r>
      <w:r>
        <w:rPr>
          <w:rFonts w:hint="eastAsia" w:ascii="宋体" w:hAnsi="宋体"/>
          <w:b/>
          <w:kern w:val="0"/>
          <w:sz w:val="28"/>
          <w:szCs w:val="28"/>
          <w:lang w:val="en-US" w:eastAsia="zh-CN"/>
        </w:rPr>
        <w:t>146</w:t>
      </w:r>
      <w:r>
        <w:rPr>
          <w:rFonts w:hint="eastAsia" w:ascii="宋体" w:hAnsi="宋体"/>
          <w:b/>
          <w:kern w:val="0"/>
          <w:sz w:val="28"/>
          <w:szCs w:val="28"/>
        </w:rPr>
        <w:t>+</w:t>
      </w:r>
      <w:r>
        <w:rPr>
          <w:rFonts w:hint="eastAsia" w:ascii="宋体" w:hAnsi="宋体"/>
          <w:b/>
          <w:kern w:val="0"/>
          <w:sz w:val="28"/>
          <w:szCs w:val="28"/>
          <w:lang w:val="en-US" w:eastAsia="zh-CN"/>
        </w:rPr>
        <w:t>5</w:t>
      </w:r>
      <w:r>
        <w:rPr>
          <w:rFonts w:hint="eastAsia" w:ascii="宋体" w:hAnsi="宋体"/>
          <w:b/>
          <w:kern w:val="0"/>
          <w:sz w:val="28"/>
          <w:szCs w:val="28"/>
        </w:rPr>
        <w:t>00～1</w:t>
      </w:r>
      <w:r>
        <w:rPr>
          <w:rFonts w:hint="eastAsia" w:ascii="宋体" w:hAnsi="宋体"/>
          <w:b/>
          <w:kern w:val="0"/>
          <w:sz w:val="28"/>
          <w:szCs w:val="28"/>
          <w:lang w:val="en-US" w:eastAsia="zh-CN"/>
        </w:rPr>
        <w:t>5</w:t>
      </w:r>
      <w:r>
        <w:rPr>
          <w:rFonts w:hint="eastAsia" w:ascii="宋体" w:hAnsi="宋体"/>
          <w:b/>
          <w:kern w:val="0"/>
          <w:sz w:val="28"/>
          <w:szCs w:val="28"/>
        </w:rPr>
        <w:t>0+000）</w:t>
      </w:r>
    </w:p>
    <w:p>
      <w:pPr>
        <w:keepNext w:val="0"/>
        <w:keepLines w:val="0"/>
        <w:pageBreakBefore w:val="0"/>
        <w:widowControl/>
        <w:kinsoku/>
        <w:wordWrap/>
        <w:overflowPunct/>
        <w:topLinePunct w:val="0"/>
        <w:autoSpaceDE/>
        <w:autoSpaceDN/>
        <w:bidi w:val="0"/>
        <w:adjustRightInd/>
        <w:snapToGrid w:val="0"/>
        <w:spacing w:line="480" w:lineRule="auto"/>
        <w:ind w:left="0" w:leftChars="0" w:firstLine="379" w:firstLineChars="135"/>
        <w:textAlignment w:val="auto"/>
        <w:rPr>
          <w:rFonts w:hint="eastAsia" w:cs="方正仿宋_GB18030"/>
          <w:b/>
          <w:bCs/>
          <w:sz w:val="28"/>
          <w:szCs w:val="36"/>
        </w:rPr>
      </w:pPr>
      <w:r>
        <w:rPr>
          <w:rFonts w:hint="eastAsia" w:cs="方正仿宋_GB18030"/>
          <w:b/>
          <w:bCs/>
          <w:sz w:val="28"/>
          <w:szCs w:val="36"/>
        </w:rPr>
        <w:t>招</w:t>
      </w:r>
      <w:r>
        <w:rPr>
          <w:rFonts w:hint="eastAsia" w:cs="方正仿宋_GB18030"/>
          <w:b/>
          <w:bCs/>
          <w:sz w:val="28"/>
          <w:szCs w:val="36"/>
          <w:lang w:val="en-US" w:eastAsia="zh-CN"/>
        </w:rPr>
        <w:t xml:space="preserve"> </w:t>
      </w:r>
      <w:r>
        <w:rPr>
          <w:rFonts w:hint="eastAsia" w:cs="方正仿宋_GB18030"/>
          <w:b/>
          <w:bCs/>
          <w:sz w:val="28"/>
          <w:szCs w:val="36"/>
        </w:rPr>
        <w:t>标</w:t>
      </w:r>
      <w:r>
        <w:rPr>
          <w:rFonts w:hint="eastAsia" w:cs="方正仿宋_GB18030"/>
          <w:b/>
          <w:bCs/>
          <w:sz w:val="28"/>
          <w:szCs w:val="36"/>
          <w:lang w:val="en-US" w:eastAsia="zh-CN"/>
        </w:rPr>
        <w:t xml:space="preserve"> </w:t>
      </w:r>
      <w:r>
        <w:rPr>
          <w:rFonts w:hint="eastAsia" w:cs="方正仿宋_GB18030"/>
          <w:b/>
          <w:bCs/>
          <w:sz w:val="28"/>
          <w:szCs w:val="36"/>
        </w:rPr>
        <w:t>人：江苏省水利建设工程有限公司</w:t>
      </w:r>
    </w:p>
    <w:p>
      <w:pPr>
        <w:keepNext w:val="0"/>
        <w:keepLines w:val="0"/>
        <w:pageBreakBefore w:val="0"/>
        <w:widowControl/>
        <w:kinsoku/>
        <w:wordWrap/>
        <w:overflowPunct/>
        <w:topLinePunct w:val="0"/>
        <w:autoSpaceDE/>
        <w:autoSpaceDN/>
        <w:bidi w:val="0"/>
        <w:adjustRightInd/>
        <w:snapToGrid w:val="0"/>
        <w:spacing w:line="480" w:lineRule="auto"/>
        <w:ind w:left="0" w:leftChars="0" w:firstLine="422" w:firstLineChars="150"/>
        <w:textAlignment w:val="auto"/>
        <w:rPr>
          <w:rFonts w:hint="eastAsia" w:ascii="宋体" w:hAnsi="宋体" w:eastAsia="宋体" w:cs="方正仿宋_GB18030"/>
          <w:b/>
          <w:bCs/>
          <w:color w:val="000000"/>
          <w:sz w:val="28"/>
          <w:szCs w:val="36"/>
        </w:rPr>
      </w:pPr>
      <w:r>
        <w:rPr>
          <w:rFonts w:hint="eastAsia" w:ascii="宋体" w:hAnsi="宋体" w:eastAsia="宋体" w:cs="方正仿宋_GB18030"/>
          <w:b/>
          <w:bCs/>
          <w:color w:val="000000"/>
          <w:sz w:val="28"/>
          <w:szCs w:val="36"/>
        </w:rPr>
        <w:t>现场管理机构：江苏省水利建设工程有限公司淮河入海水道二期工程盐</w:t>
      </w:r>
    </w:p>
    <w:p>
      <w:pPr>
        <w:keepNext w:val="0"/>
        <w:keepLines w:val="0"/>
        <w:pageBreakBefore w:val="0"/>
        <w:widowControl/>
        <w:kinsoku/>
        <w:wordWrap/>
        <w:overflowPunct/>
        <w:topLinePunct w:val="0"/>
        <w:autoSpaceDE/>
        <w:autoSpaceDN/>
        <w:bidi w:val="0"/>
        <w:adjustRightInd/>
        <w:snapToGrid w:val="0"/>
        <w:spacing w:line="480" w:lineRule="auto"/>
        <w:ind w:left="0" w:leftChars="0" w:firstLine="2389" w:firstLineChars="850"/>
        <w:textAlignment w:val="auto"/>
        <w:rPr>
          <w:rFonts w:hint="eastAsia" w:ascii="宋体" w:hAnsi="宋体" w:eastAsia="宋体" w:cs="方正仿宋_GB18030"/>
          <w:b/>
          <w:bCs/>
          <w:sz w:val="28"/>
          <w:szCs w:val="36"/>
        </w:rPr>
      </w:pPr>
      <w:r>
        <w:rPr>
          <w:rFonts w:hint="eastAsia" w:ascii="宋体" w:hAnsi="宋体" w:eastAsia="宋体" w:cs="方正仿宋_GB18030"/>
          <w:b/>
          <w:bCs/>
          <w:color w:val="000000"/>
          <w:sz w:val="28"/>
          <w:szCs w:val="36"/>
        </w:rPr>
        <w:t>城市</w:t>
      </w:r>
      <w:r>
        <w:rPr>
          <w:rFonts w:hint="eastAsia" w:ascii="宋体" w:hAnsi="宋体" w:eastAsia="宋体" w:cs="方正仿宋_GB18030"/>
          <w:b/>
          <w:bCs/>
          <w:sz w:val="28"/>
          <w:szCs w:val="36"/>
        </w:rPr>
        <w:t>境内河道工程施工</w:t>
      </w:r>
      <w:r>
        <w:rPr>
          <w:rFonts w:hint="eastAsia" w:ascii="宋体" w:hAnsi="宋体" w:eastAsia="宋体" w:cs="方正仿宋_GB18030"/>
          <w:b/>
          <w:bCs/>
          <w:sz w:val="28"/>
          <w:szCs w:val="36"/>
          <w:lang w:val="en-US" w:eastAsia="zh-CN"/>
        </w:rPr>
        <w:t>17</w:t>
      </w:r>
      <w:r>
        <w:rPr>
          <w:rFonts w:hint="eastAsia" w:ascii="宋体" w:hAnsi="宋体" w:eastAsia="宋体" w:cs="方正仿宋_GB18030"/>
          <w:b/>
          <w:bCs/>
          <w:sz w:val="28"/>
          <w:szCs w:val="36"/>
        </w:rPr>
        <w:t>标项目经理部</w:t>
      </w:r>
    </w:p>
    <w:p>
      <w:pPr>
        <w:keepNext w:val="0"/>
        <w:keepLines w:val="0"/>
        <w:pageBreakBefore w:val="0"/>
        <w:widowControl/>
        <w:kinsoku/>
        <w:wordWrap/>
        <w:overflowPunct/>
        <w:topLinePunct w:val="0"/>
        <w:autoSpaceDE/>
        <w:autoSpaceDN/>
        <w:bidi w:val="0"/>
        <w:adjustRightInd/>
        <w:snapToGrid w:val="0"/>
        <w:spacing w:line="480" w:lineRule="auto"/>
        <w:ind w:firstLine="422" w:firstLineChars="150"/>
        <w:textAlignment w:val="auto"/>
        <w:rPr>
          <w:rFonts w:hint="eastAsia" w:ascii="宋体" w:hAnsi="宋体" w:eastAsia="宋体" w:cs="方正仿宋_GB18030"/>
          <w:b/>
          <w:bCs/>
          <w:color w:val="000000"/>
          <w:sz w:val="28"/>
          <w:szCs w:val="36"/>
        </w:rPr>
      </w:pPr>
      <w:r>
        <w:rPr>
          <w:rFonts w:hint="eastAsia" w:ascii="宋体" w:hAnsi="宋体" w:eastAsia="宋体" w:cs="方正仿宋_GB18030"/>
          <w:b/>
          <w:bCs/>
          <w:color w:val="000000"/>
          <w:sz w:val="28"/>
          <w:szCs w:val="36"/>
        </w:rPr>
        <w:t>编制日期：202</w:t>
      </w:r>
      <w:r>
        <w:rPr>
          <w:rFonts w:hint="eastAsia" w:ascii="宋体" w:hAnsi="宋体" w:eastAsia="宋体" w:cs="方正仿宋_GB18030"/>
          <w:b/>
          <w:bCs/>
          <w:color w:val="000000"/>
          <w:sz w:val="28"/>
          <w:szCs w:val="36"/>
          <w:lang w:val="en-US" w:eastAsia="zh-CN"/>
        </w:rPr>
        <w:t>6</w:t>
      </w:r>
      <w:r>
        <w:rPr>
          <w:rFonts w:hint="eastAsia" w:ascii="宋体" w:hAnsi="宋体" w:eastAsia="宋体" w:cs="方正仿宋_GB18030"/>
          <w:b/>
          <w:bCs/>
          <w:color w:val="000000"/>
          <w:sz w:val="28"/>
          <w:szCs w:val="36"/>
        </w:rPr>
        <w:t>年</w:t>
      </w:r>
      <w:r>
        <w:rPr>
          <w:rFonts w:hint="eastAsia" w:cs="方正仿宋_GB18030"/>
          <w:b/>
          <w:bCs/>
          <w:color w:val="000000"/>
          <w:sz w:val="28"/>
          <w:szCs w:val="36"/>
          <w:lang w:val="en-US" w:eastAsia="zh-CN"/>
        </w:rPr>
        <w:t>5</w:t>
      </w:r>
      <w:r>
        <w:rPr>
          <w:rFonts w:hint="eastAsia" w:ascii="宋体" w:hAnsi="宋体" w:eastAsia="宋体" w:cs="方正仿宋_GB18030"/>
          <w:b/>
          <w:bCs/>
          <w:color w:val="000000"/>
          <w:sz w:val="28"/>
          <w:szCs w:val="36"/>
        </w:rPr>
        <w:t>月</w:t>
      </w:r>
      <w:r>
        <w:rPr>
          <w:rFonts w:hint="eastAsia" w:cs="方正仿宋_GB18030"/>
          <w:b/>
          <w:bCs/>
          <w:color w:val="000000"/>
          <w:sz w:val="28"/>
          <w:szCs w:val="36"/>
          <w:lang w:val="en-US" w:eastAsia="zh-CN"/>
        </w:rPr>
        <w:t>20</w:t>
      </w:r>
      <w:r>
        <w:rPr>
          <w:rFonts w:hint="eastAsia" w:ascii="宋体" w:hAnsi="宋体" w:eastAsia="宋体" w:cs="方正仿宋_GB18030"/>
          <w:b/>
          <w:bCs/>
          <w:color w:val="000000"/>
          <w:sz w:val="28"/>
          <w:szCs w:val="36"/>
        </w:rPr>
        <w:t>日</w:t>
      </w:r>
    </w:p>
    <w:p>
      <w:pPr>
        <w:keepNext w:val="0"/>
        <w:keepLines w:val="0"/>
        <w:pageBreakBefore w:val="0"/>
        <w:widowControl/>
        <w:kinsoku/>
        <w:wordWrap/>
        <w:overflowPunct/>
        <w:topLinePunct w:val="0"/>
        <w:autoSpaceDE/>
        <w:autoSpaceDN/>
        <w:bidi w:val="0"/>
        <w:adjustRightInd/>
        <w:snapToGrid w:val="0"/>
        <w:spacing w:line="480" w:lineRule="auto"/>
        <w:ind w:firstLine="422" w:firstLineChars="150"/>
        <w:textAlignment w:val="auto"/>
        <w:rPr>
          <w:rFonts w:hint="eastAsia" w:ascii="宋体" w:hAnsi="宋体" w:eastAsia="宋体" w:cs="方正仿宋_GB18030"/>
          <w:b/>
          <w:bCs/>
          <w:color w:val="000000"/>
          <w:sz w:val="28"/>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851" w:footer="992" w:gutter="0"/>
          <w:cols w:space="720" w:num="1"/>
          <w:docGrid w:type="lines" w:linePitch="312" w:charSpace="0"/>
        </w:sectPr>
      </w:pPr>
    </w:p>
    <w:p>
      <w:pPr>
        <w:ind w:left="0" w:leftChars="0" w:firstLine="0" w:firstLineChars="0"/>
        <w:jc w:val="center"/>
        <w:rPr>
          <w:rFonts w:hint="eastAsia"/>
          <w:b/>
          <w:bCs/>
          <w:sz w:val="32"/>
          <w:szCs w:val="32"/>
        </w:rPr>
      </w:pPr>
      <w:r>
        <w:rPr>
          <w:b/>
          <w:bCs/>
          <w:sz w:val="32"/>
          <w:szCs w:val="32"/>
        </w:rPr>
        <w:t xml:space="preserve">第一章 </w:t>
      </w:r>
      <w:r>
        <w:rPr>
          <w:rFonts w:hint="eastAsia"/>
          <w:b/>
          <w:bCs/>
          <w:sz w:val="32"/>
          <w:szCs w:val="32"/>
        </w:rPr>
        <w:t xml:space="preserve"> </w:t>
      </w:r>
      <w:r>
        <w:rPr>
          <w:b/>
          <w:bCs/>
          <w:sz w:val="32"/>
          <w:szCs w:val="32"/>
        </w:rPr>
        <w:t>招标公告</w:t>
      </w:r>
    </w:p>
    <w:p>
      <w:pPr>
        <w:rPr>
          <w:rFonts w:hint="eastAsia"/>
        </w:rPr>
      </w:pPr>
    </w:p>
    <w:p>
      <w:pPr>
        <w:keepNext w:val="0"/>
        <w:keepLines w:val="0"/>
        <w:pageBreakBefore w:val="0"/>
        <w:widowControl w:val="0"/>
        <w:kinsoku/>
        <w:wordWrap/>
        <w:overflowPunct/>
        <w:topLinePunct w:val="0"/>
        <w:autoSpaceDE/>
        <w:autoSpaceDN/>
        <w:bidi w:val="0"/>
        <w:adjustRightInd/>
        <w:snapToGrid/>
        <w:spacing w:line="308" w:lineRule="auto"/>
        <w:textAlignment w:val="auto"/>
        <w:rPr>
          <w:rFonts w:ascii="Times New Roman" w:hAnsi="Times New Roman" w:cs="Times New Roman"/>
        </w:rPr>
      </w:pPr>
      <w:r>
        <w:rPr>
          <w:rFonts w:ascii="Times New Roman" w:hAnsi="Times New Roman" w:cs="Times New Roman"/>
        </w:rPr>
        <w:t>我公司202</w:t>
      </w:r>
      <w:r>
        <w:rPr>
          <w:rFonts w:hint="eastAsia" w:ascii="Times New Roman" w:hAnsi="Times New Roman" w:cs="Times New Roman"/>
          <w:lang w:val="en-US" w:eastAsia="zh-CN"/>
        </w:rPr>
        <w:t>5</w:t>
      </w:r>
      <w:r>
        <w:rPr>
          <w:rFonts w:ascii="Times New Roman" w:hAnsi="Times New Roman" w:cs="Times New Roman"/>
        </w:rPr>
        <w:t>年1</w:t>
      </w:r>
      <w:r>
        <w:rPr>
          <w:rFonts w:hint="eastAsia" w:ascii="Times New Roman" w:hAnsi="Times New Roman" w:cs="Times New Roman"/>
          <w:lang w:val="en-US" w:eastAsia="zh-CN"/>
        </w:rPr>
        <w:t>2</w:t>
      </w:r>
      <w:r>
        <w:rPr>
          <w:rFonts w:ascii="Times New Roman" w:hAnsi="Times New Roman" w:cs="Times New Roman"/>
        </w:rPr>
        <w:t>月份中标承建了</w:t>
      </w:r>
      <w:r>
        <w:rPr>
          <w:rFonts w:hint="eastAsia" w:ascii="Times New Roman" w:hAnsi="Times New Roman" w:eastAsia="宋体" w:cs="Times New Roman"/>
          <w:b/>
          <w:bCs/>
          <w:kern w:val="2"/>
          <w:sz w:val="24"/>
          <w:szCs w:val="24"/>
          <w:u w:val="single"/>
          <w:lang w:val="en-US" w:eastAsia="zh-CN" w:bidi="ar-SA"/>
        </w:rPr>
        <w:t>淮河入海水道二期工程盐城市境内河道工程施工17标（桩号146+500～150+000）</w:t>
      </w:r>
      <w:r>
        <w:rPr>
          <w:rFonts w:ascii="Times New Roman" w:hAnsi="Times New Roman" w:cs="Times New Roman"/>
        </w:rPr>
        <w:t>工程，为保证优质、高效、安全地完成施工任务，现决定对该项目</w:t>
      </w:r>
      <w:r>
        <w:rPr>
          <w:rFonts w:ascii="Times New Roman" w:hAnsi="Times New Roman" w:cs="Times New Roman"/>
          <w:b/>
          <w:bCs/>
          <w:u w:val="single"/>
        </w:rPr>
        <w:t>护脚用块石</w:t>
      </w:r>
      <w:r>
        <w:rPr>
          <w:rFonts w:hint="eastAsia" w:ascii="Times New Roman" w:hAnsi="Times New Roman" w:cs="Times New Roman"/>
          <w:color w:val="0000FF"/>
          <w:lang w:val="en-US" w:eastAsia="zh-CN"/>
        </w:rPr>
        <w:t>重新</w:t>
      </w:r>
      <w:r>
        <w:rPr>
          <w:rFonts w:ascii="Times New Roman" w:hAnsi="Times New Roman" w:cs="Times New Roman"/>
        </w:rPr>
        <w:t>进行公开招标，欢迎新老客户参加竞标。</w:t>
      </w:r>
      <w:bookmarkStart w:id="0" w:name="_Toc211244988"/>
      <w:bookmarkStart w:id="1" w:name="_Toc13095"/>
      <w:bookmarkStart w:id="2" w:name="_Toc374458968"/>
    </w:p>
    <w:bookmarkEnd w:id="0"/>
    <w:bookmarkEnd w:id="1"/>
    <w:bookmarkEnd w:id="2"/>
    <w:p>
      <w:pPr>
        <w:keepNext w:val="0"/>
        <w:keepLines w:val="0"/>
        <w:pageBreakBefore w:val="0"/>
        <w:widowControl w:val="0"/>
        <w:kinsoku/>
        <w:wordWrap/>
        <w:overflowPunct/>
        <w:topLinePunct w:val="0"/>
        <w:autoSpaceDE/>
        <w:autoSpaceDN/>
        <w:bidi w:val="0"/>
        <w:adjustRightInd/>
        <w:snapToGrid/>
        <w:spacing w:line="308" w:lineRule="auto"/>
        <w:ind w:left="-28" w:firstLine="482"/>
        <w:jc w:val="left"/>
        <w:textAlignment w:val="auto"/>
        <w:rPr>
          <w:rFonts w:ascii="Times New Roman" w:hAnsi="Times New Roman" w:cs="Times New Roman"/>
          <w:b/>
          <w:bCs/>
        </w:rPr>
      </w:pPr>
      <w:r>
        <w:rPr>
          <w:rFonts w:ascii="Times New Roman" w:hAnsi="Times New Roman" w:cs="Times New Roman"/>
          <w:b/>
          <w:bCs/>
        </w:rPr>
        <w:t>一、投标人资格要求</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ascii="Times New Roman" w:hAnsi="Times New Roman" w:cs="Times New Roman"/>
        </w:rPr>
      </w:pPr>
      <w:r>
        <w:rPr>
          <w:rFonts w:ascii="Times New Roman" w:hAnsi="Times New Roman" w:cs="Times New Roman"/>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adjustRightInd/>
        <w:snapToGrid/>
        <w:spacing w:line="308" w:lineRule="auto"/>
        <w:ind w:left="-28" w:firstLine="482"/>
        <w:jc w:val="left"/>
        <w:textAlignment w:val="auto"/>
        <w:rPr>
          <w:rFonts w:ascii="Times New Roman" w:hAnsi="Times New Roman" w:cs="Times New Roman"/>
          <w:b/>
          <w:bCs/>
        </w:rPr>
      </w:pPr>
      <w:bookmarkStart w:id="3" w:name="_Toc9530677"/>
      <w:r>
        <w:rPr>
          <w:rFonts w:ascii="Times New Roman" w:hAnsi="Times New Roman" w:cs="Times New Roman"/>
          <w:b/>
          <w:bCs/>
        </w:rPr>
        <w:t>二、招标文件的获取</w:t>
      </w:r>
      <w:bookmarkEnd w:id="3"/>
    </w:p>
    <w:p>
      <w:pPr>
        <w:keepNext w:val="0"/>
        <w:keepLines w:val="0"/>
        <w:pageBreakBefore w:val="0"/>
        <w:widowControl w:val="0"/>
        <w:kinsoku/>
        <w:wordWrap/>
        <w:overflowPunct/>
        <w:topLinePunct w:val="0"/>
        <w:autoSpaceDE/>
        <w:autoSpaceDN/>
        <w:bidi w:val="0"/>
        <w:adjustRightInd/>
        <w:snapToGrid/>
        <w:spacing w:line="308" w:lineRule="auto"/>
        <w:textAlignment w:val="auto"/>
        <w:rPr>
          <w:rFonts w:ascii="Times New Roman" w:hAnsi="Times New Roman" w:cs="Times New Roman"/>
        </w:rPr>
      </w:pPr>
      <w:r>
        <w:rPr>
          <w:rFonts w:ascii="Times New Roman" w:hAnsi="Times New Roman" w:cs="Times New Roman"/>
        </w:rPr>
        <w:t>请有意参加投标的供应商至江苏省水利建设工程有限公司网站（http://www.jswcc.com/）下载本次块石采购的招标文件。</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ascii="Times New Roman" w:hAnsi="Times New Roman" w:cs="Times New Roman"/>
        </w:rPr>
      </w:pPr>
      <w:r>
        <w:rPr>
          <w:rFonts w:ascii="Times New Roman" w:hAnsi="Times New Roman" w:cs="Times New Roman"/>
        </w:rPr>
        <w:t>招标人联系人：朱丽（联系电话：13218960628）（长征西路14号）</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ascii="Times New Roman" w:hAnsi="Times New Roman" w:cs="Times New Roman"/>
        </w:rPr>
      </w:pPr>
      <w:r>
        <w:rPr>
          <w:rFonts w:ascii="Times New Roman" w:hAnsi="Times New Roman" w:cs="Times New Roman"/>
        </w:rPr>
        <w:t>项目部联系人：</w:t>
      </w:r>
      <w:r>
        <w:rPr>
          <w:rFonts w:hint="eastAsia" w:ascii="Times New Roman" w:hAnsi="Times New Roman" w:cs="Times New Roman"/>
          <w:lang w:val="en-US" w:eastAsia="zh-CN"/>
        </w:rPr>
        <w:t>吴永军</w:t>
      </w:r>
      <w:r>
        <w:rPr>
          <w:rFonts w:ascii="Times New Roman" w:hAnsi="Times New Roman" w:cs="Times New Roman"/>
        </w:rPr>
        <w:t>（联系电话：</w:t>
      </w:r>
      <w:r>
        <w:rPr>
          <w:rFonts w:hint="eastAsia" w:ascii="Times New Roman" w:hAnsi="Times New Roman" w:cs="Times New Roman"/>
          <w:lang w:val="en-US" w:eastAsia="zh-CN"/>
        </w:rPr>
        <w:t>15995134869</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08" w:lineRule="auto"/>
        <w:ind w:left="-28" w:firstLine="482"/>
        <w:jc w:val="left"/>
        <w:textAlignment w:val="auto"/>
        <w:rPr>
          <w:rFonts w:ascii="Times New Roman" w:hAnsi="Times New Roman" w:cs="Times New Roman"/>
          <w:b/>
          <w:bCs/>
        </w:rPr>
      </w:pPr>
      <w:r>
        <w:rPr>
          <w:rFonts w:ascii="Times New Roman" w:hAnsi="Times New Roman" w:cs="Times New Roman"/>
          <w:b/>
          <w:bCs/>
        </w:rPr>
        <w:t>三、投标文件的递交</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ascii="Times New Roman" w:hAnsi="Times New Roman" w:cs="Times New Roman"/>
        </w:rPr>
      </w:pPr>
      <w:r>
        <w:rPr>
          <w:szCs w:val="24"/>
        </w:rPr>
        <w:t>本次投标采取网上投标方式，投标人于</w:t>
      </w:r>
      <w:r>
        <w:rPr>
          <w:rFonts w:hint="eastAsia" w:ascii="Times New Roman" w:hAnsi="Times New Roman" w:cs="Times New Roman"/>
          <w:kern w:val="2"/>
          <w:szCs w:val="24"/>
        </w:rPr>
        <w:t>2026年5月</w:t>
      </w:r>
      <w:r>
        <w:rPr>
          <w:rFonts w:hint="eastAsia" w:ascii="Times New Roman" w:hAnsi="Times New Roman" w:cs="Times New Roman"/>
          <w:kern w:val="2"/>
          <w:szCs w:val="24"/>
          <w:lang w:val="en-US" w:eastAsia="zh-CN"/>
        </w:rPr>
        <w:t>25</w:t>
      </w:r>
      <w:r>
        <w:rPr>
          <w:rFonts w:hint="eastAsia" w:ascii="Times New Roman" w:hAnsi="Times New Roman" w:cs="Times New Roman"/>
          <w:kern w:val="2"/>
          <w:szCs w:val="24"/>
        </w:rPr>
        <w:t>日下午1</w:t>
      </w:r>
      <w:r>
        <w:rPr>
          <w:rFonts w:hint="eastAsia" w:ascii="Times New Roman" w:hAnsi="Times New Roman" w:cs="Times New Roman"/>
          <w:kern w:val="2"/>
          <w:szCs w:val="24"/>
          <w:lang w:val="en-US" w:eastAsia="zh-CN"/>
        </w:rPr>
        <w:t>4</w:t>
      </w:r>
      <w:r>
        <w:rPr>
          <w:rFonts w:hint="eastAsia" w:ascii="Times New Roman" w:hAnsi="Times New Roman" w:cs="Times New Roman"/>
          <w:kern w:val="2"/>
          <w:szCs w:val="24"/>
        </w:rPr>
        <w:t>:</w:t>
      </w:r>
      <w:r>
        <w:rPr>
          <w:rFonts w:hint="eastAsia" w:ascii="Times New Roman" w:hAnsi="Times New Roman" w:cs="Times New Roman"/>
          <w:kern w:val="2"/>
          <w:szCs w:val="24"/>
          <w:lang w:val="en-US" w:eastAsia="zh-CN"/>
        </w:rPr>
        <w:t>00</w:t>
      </w:r>
      <w:r>
        <w:rPr>
          <w:szCs w:val="24"/>
        </w:rPr>
        <w:t>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szCs w:val="24"/>
        </w:rPr>
        <w:t>，投标文件每页均须法定代表人或其授权委托人签字并加盖单位公章。投标单位可与朱丽13218960628联系获取江苏水建集中采购平台操作手册。</w:t>
      </w:r>
    </w:p>
    <w:p>
      <w:pPr>
        <w:keepNext w:val="0"/>
        <w:keepLines w:val="0"/>
        <w:pageBreakBefore w:val="0"/>
        <w:widowControl w:val="0"/>
        <w:kinsoku/>
        <w:wordWrap/>
        <w:overflowPunct/>
        <w:topLinePunct w:val="0"/>
        <w:autoSpaceDE/>
        <w:autoSpaceDN/>
        <w:bidi w:val="0"/>
        <w:adjustRightInd/>
        <w:snapToGrid/>
        <w:spacing w:line="308" w:lineRule="auto"/>
        <w:ind w:left="-28" w:firstLine="482"/>
        <w:jc w:val="left"/>
        <w:textAlignment w:val="auto"/>
        <w:rPr>
          <w:rFonts w:ascii="Times New Roman" w:hAnsi="Times New Roman" w:cs="Times New Roman"/>
          <w:b/>
          <w:bCs/>
        </w:rPr>
      </w:pPr>
      <w:r>
        <w:rPr>
          <w:rFonts w:ascii="Times New Roman" w:hAnsi="Times New Roman" w:cs="Times New Roman"/>
          <w:b/>
          <w:bCs/>
        </w:rPr>
        <w:t>四、投标保证金、开标时间地点</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ascii="Times New Roman" w:hAnsi="Times New Roman" w:cs="Times New Roman"/>
        </w:rPr>
      </w:pPr>
      <w:r>
        <w:rPr>
          <w:rFonts w:ascii="Times New Roman" w:hAnsi="Times New Roman" w:cs="Times New Roman"/>
        </w:rPr>
        <w:t>1、投标保证金</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hint="default" w:ascii="Times New Roman" w:hAnsi="Times New Roman" w:cs="Times New Roman"/>
        </w:rPr>
      </w:pPr>
      <w:r>
        <w:rPr>
          <w:rFonts w:ascii="Times New Roman" w:hAnsi="Times New Roman" w:cs="Times New Roman"/>
        </w:rPr>
        <w:t>请各投标人需在</w:t>
      </w:r>
      <w:r>
        <w:rPr>
          <w:rFonts w:hint="default" w:ascii="Times New Roman" w:hAnsi="Times New Roman" w:cs="Times New Roman"/>
          <w:sz w:val="24"/>
          <w:szCs w:val="24"/>
        </w:rPr>
        <w:t>2026年5月24日下午16:30</w:t>
      </w:r>
      <w:r>
        <w:rPr>
          <w:rFonts w:hint="eastAsia" w:ascii="Times New Roman" w:hAnsi="Times New Roman" w:cs="Times New Roman"/>
          <w:sz w:val="24"/>
          <w:szCs w:val="24"/>
          <w:lang w:val="en-US" w:eastAsia="zh-CN"/>
        </w:rPr>
        <w:t>前</w:t>
      </w:r>
      <w:r>
        <w:rPr>
          <w:rFonts w:hint="default" w:ascii="Times New Roman" w:hAnsi="Times New Roman" w:cs="Times New Roman"/>
        </w:rPr>
        <w:t>从单位基本账户将投标保证金人民币</w:t>
      </w:r>
      <w:r>
        <w:rPr>
          <w:rFonts w:hint="eastAsia" w:ascii="Times New Roman" w:hAnsi="Times New Roman" w:cs="Times New Roman"/>
          <w:b/>
          <w:bCs/>
          <w:lang w:val="en-US" w:eastAsia="zh-CN"/>
        </w:rPr>
        <w:t>贰</w:t>
      </w:r>
      <w:r>
        <w:rPr>
          <w:rFonts w:hint="default" w:ascii="Times New Roman" w:hAnsi="Times New Roman" w:cs="Times New Roman"/>
          <w:b/>
          <w:bCs/>
        </w:rPr>
        <w:t>拾万元</w:t>
      </w:r>
      <w:r>
        <w:rPr>
          <w:rFonts w:hint="default" w:ascii="Times New Roman" w:hAnsi="Times New Roman" w:cs="Times New Roman"/>
        </w:rPr>
        <w:t>整汇入我公司银行账户，汇款备注：</w:t>
      </w:r>
      <w:r>
        <w:rPr>
          <w:rFonts w:hint="default" w:ascii="Times New Roman" w:hAnsi="Times New Roman" w:eastAsia="宋体" w:cs="Times New Roman"/>
          <w:b/>
          <w:bCs/>
          <w:kern w:val="2"/>
          <w:sz w:val="24"/>
          <w:szCs w:val="24"/>
          <w:u w:val="none"/>
          <w:lang w:val="en-US" w:eastAsia="zh-CN" w:bidi="ar-SA"/>
        </w:rPr>
        <w:t>入海水道二期河道17标</w:t>
      </w:r>
      <w:r>
        <w:rPr>
          <w:rFonts w:hint="default" w:ascii="Times New Roman" w:hAnsi="Times New Roman" w:cs="Times New Roman"/>
          <w:b/>
          <w:bCs/>
        </w:rPr>
        <w:t>块石采购投标保证金</w:t>
      </w:r>
      <w:r>
        <w:rPr>
          <w:rFonts w:hint="default" w:ascii="Times New Roman" w:hAnsi="Times New Roman" w:cs="Times New Roman"/>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hint="default" w:ascii="Times New Roman" w:hAnsi="Times New Roman" w:cs="Times New Roman"/>
        </w:rPr>
      </w:pPr>
      <w:r>
        <w:rPr>
          <w:rFonts w:hint="default" w:ascii="Times New Roman" w:hAnsi="Times New Roman" w:cs="Times New Roman"/>
        </w:rPr>
        <w:t>户名：江苏省水利建设工程有限公司</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hint="default" w:ascii="Times New Roman" w:hAnsi="Times New Roman" w:cs="Times New Roman"/>
        </w:rPr>
      </w:pPr>
      <w:r>
        <w:rPr>
          <w:rFonts w:hint="default" w:ascii="Times New Roman" w:hAnsi="Times New Roman" w:cs="Times New Roman"/>
        </w:rPr>
        <w:t>银行：中国建设银行扬州琼花支行</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hint="default" w:ascii="Times New Roman" w:hAnsi="Times New Roman" w:cs="Times New Roman"/>
        </w:rPr>
      </w:pPr>
      <w:r>
        <w:rPr>
          <w:rFonts w:hint="default" w:ascii="Times New Roman" w:hAnsi="Times New Roman" w:cs="Times New Roman"/>
        </w:rPr>
        <w:t>账号：32001745736050488688</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hint="default" w:ascii="Times New Roman" w:hAnsi="Times New Roman" w:cs="Times New Roman"/>
        </w:rPr>
      </w:pPr>
      <w:r>
        <w:rPr>
          <w:rFonts w:hint="default" w:ascii="Times New Roman" w:hAnsi="Times New Roman" w:cs="Times New Roman"/>
        </w:rPr>
        <w:t>2、开标时间及地点</w:t>
      </w:r>
    </w:p>
    <w:p>
      <w:pPr>
        <w:keepNext w:val="0"/>
        <w:keepLines w:val="0"/>
        <w:pageBreakBefore w:val="0"/>
        <w:widowControl w:val="0"/>
        <w:kinsoku/>
        <w:wordWrap/>
        <w:overflowPunct/>
        <w:topLinePunct w:val="0"/>
        <w:autoSpaceDE/>
        <w:autoSpaceDN/>
        <w:bidi w:val="0"/>
        <w:adjustRightInd/>
        <w:snapToGrid/>
        <w:spacing w:line="308" w:lineRule="auto"/>
        <w:textAlignment w:val="auto"/>
        <w:rPr>
          <w:rFonts w:hint="eastAsia"/>
        </w:rPr>
      </w:pPr>
      <w:r>
        <w:rPr>
          <w:rFonts w:hint="default" w:ascii="Times New Roman" w:hAnsi="Times New Roman" w:eastAsia="宋体" w:cs="Times New Roman"/>
          <w:sz w:val="24"/>
          <w:szCs w:val="24"/>
        </w:rPr>
        <w:t>招标人于</w:t>
      </w:r>
      <w:r>
        <w:rPr>
          <w:rFonts w:hint="default" w:ascii="Times New Roman" w:hAnsi="Times New Roman" w:eastAsia="宋体" w:cs="Times New Roman"/>
          <w:kern w:val="2"/>
          <w:sz w:val="24"/>
          <w:szCs w:val="24"/>
        </w:rPr>
        <w:t>2026年5月</w:t>
      </w:r>
      <w:r>
        <w:rPr>
          <w:rFonts w:hint="default" w:ascii="Times New Roman" w:hAnsi="Times New Roman" w:eastAsia="宋体" w:cs="Times New Roman"/>
          <w:kern w:val="2"/>
          <w:sz w:val="24"/>
          <w:szCs w:val="24"/>
          <w:lang w:val="en-US" w:eastAsia="zh-CN"/>
        </w:rPr>
        <w:t>25</w:t>
      </w:r>
      <w:r>
        <w:rPr>
          <w:rFonts w:hint="default" w:ascii="Times New Roman" w:hAnsi="Times New Roman" w:eastAsia="宋体" w:cs="Times New Roman"/>
          <w:kern w:val="2"/>
          <w:sz w:val="24"/>
          <w:szCs w:val="24"/>
        </w:rPr>
        <w:t>日下午1</w:t>
      </w:r>
      <w:r>
        <w:rPr>
          <w:rFonts w:hint="default" w:ascii="Times New Roman" w:hAnsi="Times New Roman" w:eastAsia="宋体" w:cs="Times New Roman"/>
          <w:kern w:val="2"/>
          <w:sz w:val="24"/>
          <w:szCs w:val="24"/>
          <w:lang w:val="en-US" w:eastAsia="zh-CN"/>
        </w:rPr>
        <w:t>4</w:t>
      </w:r>
      <w:r>
        <w:rPr>
          <w:rFonts w:hint="default" w:ascii="Times New Roman" w:hAnsi="Times New Roman" w:eastAsia="宋体" w:cs="Times New Roman"/>
          <w:kern w:val="2"/>
          <w:sz w:val="24"/>
          <w:szCs w:val="24"/>
        </w:rPr>
        <w:t>:</w:t>
      </w:r>
      <w:r>
        <w:rPr>
          <w:rFonts w:hint="eastAsia" w:ascii="Times New Roman" w:hAnsi="Times New Roman" w:cs="Times New Roman"/>
          <w:kern w:val="2"/>
          <w:sz w:val="24"/>
          <w:szCs w:val="24"/>
          <w:lang w:val="en-US" w:eastAsia="zh-CN"/>
        </w:rPr>
        <w:t>0</w:t>
      </w:r>
      <w:r>
        <w:rPr>
          <w:rFonts w:hint="default" w:ascii="Times New Roman" w:hAnsi="Times New Roman" w:eastAsia="宋体" w:cs="Times New Roman"/>
          <w:kern w:val="2"/>
          <w:sz w:val="24"/>
          <w:szCs w:val="24"/>
          <w:lang w:val="en-US" w:eastAsia="zh-CN"/>
        </w:rPr>
        <w:t>0</w:t>
      </w:r>
      <w:r>
        <w:rPr>
          <w:rFonts w:hint="default" w:ascii="Times New Roman" w:hAnsi="Times New Roman" w:eastAsia="宋体" w:cs="Times New Roman"/>
          <w:sz w:val="24"/>
          <w:szCs w:val="24"/>
        </w:rPr>
        <w:t>在江苏省水利建设工程有限公司公司</w:t>
      </w:r>
      <w:r>
        <w:rPr>
          <w:rFonts w:hint="default" w:ascii="Times New Roman" w:hAnsi="Times New Roman" w:eastAsia="宋体" w:cs="Times New Roman"/>
          <w:color w:val="0000FF"/>
          <w:sz w:val="24"/>
          <w:szCs w:val="24"/>
        </w:rPr>
        <w:t>蒋坝船闸改建工程土建施工及设备安装项目经理部</w:t>
      </w:r>
      <w:r>
        <w:rPr>
          <w:rFonts w:hint="default" w:ascii="Times New Roman" w:hAnsi="Times New Roman" w:eastAsia="宋体" w:cs="Times New Roman"/>
          <w:color w:val="0000FF"/>
          <w:sz w:val="24"/>
          <w:szCs w:val="24"/>
          <w:lang w:val="en-US" w:eastAsia="zh-CN"/>
        </w:rPr>
        <w:t>会议室</w:t>
      </w:r>
      <w:r>
        <w:rPr>
          <w:rFonts w:hint="default" w:ascii="Times New Roman" w:hAnsi="Times New Roman" w:eastAsia="宋体" w:cs="Times New Roman"/>
          <w:sz w:val="24"/>
          <w:szCs w:val="24"/>
        </w:rPr>
        <w:t>现场开标，届时与投标人联系投标文件压缩包密码。</w:t>
      </w:r>
      <w:r>
        <w:rPr>
          <w:rFonts w:hint="default" w:ascii="Times New Roman" w:hAnsi="Times New Roman" w:eastAsia="宋体" w:cs="Times New Roman"/>
          <w:b/>
          <w:bCs/>
          <w:color w:val="FF0000"/>
          <w:sz w:val="24"/>
          <w:szCs w:val="24"/>
        </w:rPr>
        <w:t>开标时，</w:t>
      </w:r>
      <w:r>
        <w:rPr>
          <w:rFonts w:hint="default" w:ascii="Times New Roman" w:hAnsi="Times New Roman" w:eastAsia="宋体" w:cs="Times New Roman"/>
          <w:b/>
          <w:bCs/>
          <w:color w:val="FF0000"/>
          <w:sz w:val="24"/>
          <w:szCs w:val="24"/>
          <w:lang w:val="en-US" w:eastAsia="zh-CN"/>
        </w:rPr>
        <w:t>在开标过程中</w:t>
      </w:r>
      <w:r>
        <w:rPr>
          <w:rFonts w:hint="default" w:ascii="Times New Roman" w:hAnsi="Times New Roman" w:eastAsia="宋体" w:cs="Times New Roman"/>
          <w:b/>
          <w:bCs/>
          <w:color w:val="FF0000"/>
          <w:sz w:val="24"/>
          <w:szCs w:val="24"/>
        </w:rPr>
        <w:t>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pPr>
        <w:spacing w:line="324" w:lineRule="auto"/>
        <w:ind w:left="-28" w:firstLine="482"/>
        <w:jc w:val="left"/>
        <w:rPr>
          <w:rFonts w:ascii="Times New Roman" w:hAnsi="Times New Roman" w:cs="Times New Roman"/>
          <w:b/>
          <w:bCs/>
        </w:rPr>
      </w:pPr>
      <w:r>
        <w:rPr>
          <w:rFonts w:ascii="Times New Roman" w:hAnsi="Times New Roman" w:cs="Times New Roman"/>
          <w:b/>
          <w:bCs/>
        </w:rPr>
        <w:t>五、供货内容及要求</w:t>
      </w:r>
    </w:p>
    <w:p>
      <w:pPr>
        <w:spacing w:line="324" w:lineRule="auto"/>
        <w:rPr>
          <w:rFonts w:hint="eastAsia"/>
        </w:rPr>
      </w:pPr>
      <w:r>
        <w:rPr>
          <w:rFonts w:hint="eastAsia"/>
        </w:rPr>
        <w:t>1、块石规格及暂定用量</w:t>
      </w:r>
    </w:p>
    <w:tbl>
      <w:tblPr>
        <w:tblStyle w:val="14"/>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739"/>
        <w:gridCol w:w="1739"/>
        <w:gridCol w:w="1739"/>
        <w:gridCol w:w="1742"/>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1739" w:type="dxa"/>
            <w:vAlign w:val="center"/>
          </w:tcPr>
          <w:p>
            <w:pPr>
              <w:pStyle w:val="31"/>
              <w:rPr>
                <w:color w:val="auto"/>
                <w:sz w:val="24"/>
                <w:szCs w:val="24"/>
              </w:rPr>
            </w:pPr>
            <w:r>
              <w:rPr>
                <w:color w:val="auto"/>
                <w:sz w:val="24"/>
                <w:szCs w:val="24"/>
              </w:rPr>
              <w:t>品名</w:t>
            </w:r>
          </w:p>
        </w:tc>
        <w:tc>
          <w:tcPr>
            <w:tcW w:w="1739" w:type="dxa"/>
            <w:vAlign w:val="center"/>
          </w:tcPr>
          <w:p>
            <w:pPr>
              <w:pStyle w:val="31"/>
              <w:rPr>
                <w:color w:val="auto"/>
                <w:sz w:val="24"/>
                <w:szCs w:val="24"/>
              </w:rPr>
            </w:pPr>
            <w:r>
              <w:rPr>
                <w:color w:val="auto"/>
                <w:sz w:val="24"/>
                <w:szCs w:val="24"/>
              </w:rPr>
              <w:t>规格(mm)</w:t>
            </w:r>
          </w:p>
        </w:tc>
        <w:tc>
          <w:tcPr>
            <w:tcW w:w="1739" w:type="dxa"/>
            <w:tcBorders>
              <w:right w:val="single" w:color="auto" w:sz="4" w:space="0"/>
            </w:tcBorders>
            <w:vAlign w:val="center"/>
          </w:tcPr>
          <w:p>
            <w:pPr>
              <w:pStyle w:val="31"/>
              <w:rPr>
                <w:color w:val="auto"/>
                <w:sz w:val="24"/>
                <w:szCs w:val="24"/>
              </w:rPr>
            </w:pPr>
            <w:r>
              <w:rPr>
                <w:color w:val="auto"/>
                <w:sz w:val="24"/>
                <w:szCs w:val="24"/>
              </w:rPr>
              <w:t>产地</w:t>
            </w:r>
          </w:p>
        </w:tc>
        <w:tc>
          <w:tcPr>
            <w:tcW w:w="1742" w:type="dxa"/>
            <w:tcBorders>
              <w:top w:val="single" w:color="auto" w:sz="4" w:space="0"/>
              <w:left w:val="single" w:color="auto" w:sz="4" w:space="0"/>
              <w:right w:val="single" w:color="auto" w:sz="4" w:space="0"/>
            </w:tcBorders>
            <w:vAlign w:val="center"/>
          </w:tcPr>
          <w:p>
            <w:pPr>
              <w:pStyle w:val="31"/>
              <w:rPr>
                <w:color w:val="auto"/>
                <w:sz w:val="24"/>
                <w:szCs w:val="24"/>
              </w:rPr>
            </w:pPr>
            <w:r>
              <w:rPr>
                <w:color w:val="auto"/>
                <w:sz w:val="24"/>
                <w:szCs w:val="24"/>
              </w:rPr>
              <w:t>暂定数量(t)</w:t>
            </w:r>
          </w:p>
        </w:tc>
        <w:tc>
          <w:tcPr>
            <w:tcW w:w="2144" w:type="dxa"/>
            <w:tcBorders>
              <w:top w:val="single" w:color="auto" w:sz="4" w:space="0"/>
              <w:left w:val="single" w:color="auto" w:sz="4" w:space="0"/>
              <w:right w:val="single" w:color="auto" w:sz="4" w:space="0"/>
            </w:tcBorders>
            <w:vAlign w:val="center"/>
          </w:tcPr>
          <w:p>
            <w:pPr>
              <w:pStyle w:val="31"/>
              <w:rPr>
                <w:color w:val="auto"/>
                <w:sz w:val="24"/>
                <w:szCs w:val="24"/>
              </w:rPr>
            </w:pPr>
            <w:r>
              <w:rPr>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1739" w:type="dxa"/>
            <w:vAlign w:val="center"/>
          </w:tcPr>
          <w:p>
            <w:pPr>
              <w:pStyle w:val="31"/>
              <w:rPr>
                <w:color w:val="auto"/>
                <w:sz w:val="24"/>
                <w:szCs w:val="24"/>
              </w:rPr>
            </w:pPr>
            <w:r>
              <w:rPr>
                <w:color w:val="auto"/>
                <w:sz w:val="24"/>
                <w:szCs w:val="24"/>
              </w:rPr>
              <w:t>块石</w:t>
            </w:r>
          </w:p>
        </w:tc>
        <w:tc>
          <w:tcPr>
            <w:tcW w:w="1739" w:type="dxa"/>
            <w:vAlign w:val="center"/>
          </w:tcPr>
          <w:p>
            <w:pPr>
              <w:pStyle w:val="31"/>
              <w:rPr>
                <w:color w:val="auto"/>
                <w:sz w:val="24"/>
                <w:szCs w:val="24"/>
              </w:rPr>
            </w:pPr>
            <w:r>
              <w:rPr>
                <w:color w:val="auto"/>
                <w:sz w:val="24"/>
                <w:szCs w:val="24"/>
              </w:rPr>
              <w:t>1</w:t>
            </w:r>
            <w:r>
              <w:rPr>
                <w:rFonts w:hint="eastAsia"/>
                <w:color w:val="auto"/>
                <w:sz w:val="24"/>
                <w:szCs w:val="24"/>
                <w:lang w:val="en-US" w:eastAsia="zh-CN"/>
              </w:rPr>
              <w:t>5</w:t>
            </w:r>
            <w:r>
              <w:rPr>
                <w:color w:val="auto"/>
                <w:sz w:val="24"/>
                <w:szCs w:val="24"/>
              </w:rPr>
              <w:t>0～</w:t>
            </w:r>
            <w:r>
              <w:rPr>
                <w:rFonts w:hint="eastAsia"/>
                <w:color w:val="auto"/>
                <w:sz w:val="24"/>
                <w:szCs w:val="24"/>
                <w:lang w:val="en-US" w:eastAsia="zh-CN"/>
              </w:rPr>
              <w:t>4</w:t>
            </w:r>
            <w:r>
              <w:rPr>
                <w:color w:val="auto"/>
                <w:sz w:val="24"/>
                <w:szCs w:val="24"/>
              </w:rPr>
              <w:t>00</w:t>
            </w:r>
          </w:p>
        </w:tc>
        <w:tc>
          <w:tcPr>
            <w:tcW w:w="1739" w:type="dxa"/>
            <w:vAlign w:val="center"/>
          </w:tcPr>
          <w:p>
            <w:pPr>
              <w:pStyle w:val="31"/>
              <w:rPr>
                <w:color w:val="auto"/>
                <w:sz w:val="24"/>
                <w:szCs w:val="24"/>
              </w:rPr>
            </w:pPr>
            <w:r>
              <w:rPr>
                <w:color w:val="auto"/>
                <w:sz w:val="24"/>
                <w:szCs w:val="24"/>
              </w:rPr>
              <w:t>不限</w:t>
            </w:r>
          </w:p>
        </w:tc>
        <w:tc>
          <w:tcPr>
            <w:tcW w:w="1742" w:type="dxa"/>
            <w:vAlign w:val="center"/>
          </w:tcPr>
          <w:p>
            <w:pPr>
              <w:pStyle w:val="31"/>
              <w:rPr>
                <w:rFonts w:hint="default" w:eastAsia="宋体"/>
                <w:color w:val="auto"/>
                <w:sz w:val="24"/>
                <w:szCs w:val="24"/>
                <w:lang w:val="en-US" w:eastAsia="zh-CN"/>
              </w:rPr>
            </w:pPr>
            <w:r>
              <w:rPr>
                <w:rFonts w:hint="eastAsia"/>
                <w:color w:val="auto"/>
                <w:sz w:val="24"/>
                <w:szCs w:val="24"/>
                <w:lang w:val="en-US" w:eastAsia="zh-CN"/>
              </w:rPr>
              <w:t>80000</w:t>
            </w:r>
          </w:p>
        </w:tc>
        <w:tc>
          <w:tcPr>
            <w:tcW w:w="2144" w:type="dxa"/>
            <w:vAlign w:val="center"/>
          </w:tcPr>
          <w:p>
            <w:pPr>
              <w:pStyle w:val="31"/>
              <w:rPr>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b/>
          <w:bCs/>
        </w:rPr>
      </w:pPr>
      <w:r>
        <w:rPr>
          <w:rFonts w:ascii="Times New Roman" w:hAnsi="Times New Roman" w:cs="Times New Roman"/>
          <w:lang w:eastAsia="zh-Hans"/>
        </w:rPr>
        <w:t>2、</w:t>
      </w:r>
      <w:r>
        <w:rPr>
          <w:rFonts w:ascii="Times New Roman" w:hAnsi="Times New Roman" w:cs="Times New Roman"/>
        </w:rPr>
        <w:t>投标价格为送货到招标人工地指定地点并配合卸货后的价格，报价中均包含但不限于货款、运输及转驳费、停滞待卸货时间、利润、税费等一切费用，并包含货物装车（船）、运输及转驳、配合（指定）卸货等全过程中的安全、保险、措施等费用以及如发生安全事故导致的损失和赔偿费用，提供增值税专用发票（税金由中标人承担，包含在块石价格中），中标人不得以任何理由额外索取费用。</w:t>
      </w:r>
      <w:r>
        <w:rPr>
          <w:rFonts w:ascii="Times New Roman" w:hAnsi="Times New Roman" w:cs="Times New Roman"/>
          <w:b/>
          <w:bCs/>
        </w:rPr>
        <w:t>投标单价为固定单价，供应期及供应量内单价不随市场价格变动而调整。</w:t>
      </w:r>
    </w:p>
    <w:p>
      <w:pPr>
        <w:pStyle w:val="2"/>
        <w:keepNext w:val="0"/>
        <w:keepLines w:val="0"/>
        <w:pageBreakBefore w:val="0"/>
        <w:widowControl w:val="0"/>
        <w:kinsoku/>
        <w:wordWrap/>
        <w:overflowPunct/>
        <w:topLinePunct w:val="0"/>
        <w:autoSpaceDE/>
        <w:autoSpaceDN/>
        <w:bidi w:val="0"/>
        <w:adjustRightInd/>
        <w:snapToGrid/>
        <w:spacing w:before="0" w:line="324" w:lineRule="auto"/>
        <w:textAlignment w:val="auto"/>
        <w:rPr>
          <w:lang w:eastAsia="zh-Hans"/>
        </w:rPr>
      </w:pPr>
      <w:r>
        <w:rPr>
          <w:rFonts w:hint="eastAsia"/>
          <w:b/>
          <w:bCs/>
          <w:color w:val="0000FF"/>
        </w:rPr>
        <w:t>特别提示：</w:t>
      </w:r>
      <w:r>
        <w:rPr>
          <w:rFonts w:hint="eastAsia" w:ascii="宋体" w:hAnsi="宋体" w:eastAsia="宋体" w:cs="Times New Roman"/>
          <w:b/>
          <w:color w:val="FF0000"/>
          <w:szCs w:val="21"/>
          <w:lang w:val="en-US" w:eastAsia="zh-CN"/>
        </w:rPr>
        <w:t>本次招标设有内部限价，由招标人在开标时确定，超过限价的投标为无效标，招标人可根据评标情况确定中标候选人或重新招标。</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rPr>
      </w:pPr>
      <w:r>
        <w:rPr>
          <w:rFonts w:ascii="Times New Roman" w:hAnsi="Times New Roman" w:cs="Times New Roman"/>
        </w:rPr>
        <w:t>3、开标前投标人应根据招标文件的要求向项目部提供合格的块石样品，由项目部对样品进行封存，中标人所供块石的质量不得低于其所提供的样品质量。</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lang w:eastAsia="zh-Hans"/>
        </w:rPr>
      </w:pPr>
      <w:r>
        <w:rPr>
          <w:rFonts w:ascii="Times New Roman" w:hAnsi="Times New Roman" w:cs="Times New Roman"/>
        </w:rPr>
        <w:t>4</w:t>
      </w:r>
      <w:r>
        <w:rPr>
          <w:rFonts w:ascii="Times New Roman" w:hAnsi="Times New Roman" w:cs="Times New Roman"/>
          <w:lang w:eastAsia="zh-Hans"/>
        </w:rPr>
        <w:t>、</w:t>
      </w:r>
      <w:r>
        <w:rPr>
          <w:rFonts w:ascii="Times New Roman" w:hAnsi="Times New Roman"/>
          <w:sz w:val="24"/>
          <w:szCs w:val="24"/>
          <w:lang w:eastAsia="zh-Hans"/>
        </w:rPr>
        <w:t>结算数量以</w:t>
      </w:r>
      <w:r>
        <w:rPr>
          <w:rFonts w:hint="eastAsia" w:ascii="Times New Roman" w:hAnsi="Times New Roman"/>
          <w:sz w:val="24"/>
          <w:szCs w:val="24"/>
        </w:rPr>
        <w:t>招标人项目部</w:t>
      </w:r>
      <w:r>
        <w:rPr>
          <w:rFonts w:ascii="Times New Roman" w:hAnsi="Times New Roman"/>
          <w:sz w:val="24"/>
          <w:szCs w:val="24"/>
          <w:lang w:eastAsia="zh-Hans"/>
        </w:rPr>
        <w:t>在工地收货现场过磅后实际收到的</w:t>
      </w:r>
      <w:r>
        <w:rPr>
          <w:rFonts w:hint="eastAsia" w:ascii="Times New Roman" w:hAnsi="Times New Roman"/>
          <w:sz w:val="24"/>
          <w:szCs w:val="24"/>
          <w:lang w:val="en-US" w:eastAsia="zh-CN"/>
        </w:rPr>
        <w:t>合格</w:t>
      </w:r>
      <w:r>
        <w:rPr>
          <w:rFonts w:ascii="Times New Roman" w:hAnsi="Times New Roman"/>
          <w:sz w:val="24"/>
          <w:szCs w:val="24"/>
          <w:lang w:eastAsia="zh-Hans"/>
        </w:rPr>
        <w:t>数量</w:t>
      </w:r>
      <w:r>
        <w:rPr>
          <w:rFonts w:ascii="Times New Roman" w:hAnsi="Times New Roman"/>
          <w:sz w:val="24"/>
          <w:szCs w:val="24"/>
        </w:rPr>
        <w:t>为准</w:t>
      </w:r>
      <w:r>
        <w:rPr>
          <w:rFonts w:ascii="Times New Roman" w:hAnsi="Times New Roman"/>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default" w:ascii="Times New Roman" w:hAnsi="Times New Roman" w:cs="Times New Roman"/>
          <w:b/>
          <w:bCs/>
          <w:color w:val="FF0000"/>
          <w:lang w:eastAsia="zh-Hans"/>
        </w:rPr>
      </w:pPr>
      <w:r>
        <w:rPr>
          <w:rFonts w:hint="default" w:ascii="Times New Roman" w:hAnsi="Times New Roman" w:cs="Times New Roman"/>
          <w:sz w:val="24"/>
          <w:szCs w:val="24"/>
          <w:lang w:eastAsia="zh-Hans"/>
        </w:rPr>
        <w:t>5、块石必须符合石质坚硬，尺寸合适，无风化、裂缝，且具有较好抗蚀性的石材，不允许使用薄片、条状、尖角等形状的块石，亦不能使用风化石、泥岩等用作抛填石料。格宾石笼块石粒径0.15m~0.40m，湿抗压强度大于30Mpa，软化系数大于0.7，密度不小于2.4t/</w:t>
      </w:r>
      <w:r>
        <w:rPr>
          <w:rFonts w:hint="default" w:ascii="Times New Roman" w:hAnsi="Times New Roman" w:cs="Times New Roman"/>
          <w:lang w:eastAsia="zh-Hans"/>
        </w:rPr>
        <w:t>m³</w:t>
      </w:r>
      <w:r>
        <w:rPr>
          <w:rFonts w:hint="default" w:ascii="Times New Roman" w:hAnsi="Times New Roman" w:cs="Times New Roman"/>
          <w:sz w:val="24"/>
          <w:szCs w:val="24"/>
          <w:lang w:eastAsia="zh-Hans"/>
        </w:rPr>
        <w:t>，不允许使用薄片、条状、尖角等形状的块石。填充料宜进行级配实验分析，级配应合理。</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lang w:eastAsia="zh-Hans"/>
        </w:rPr>
      </w:pPr>
      <w:r>
        <w:rPr>
          <w:rFonts w:hint="eastAsia" w:ascii="宋体" w:hAnsi="宋体" w:cs="宋体"/>
          <w:sz w:val="24"/>
          <w:szCs w:val="24"/>
        </w:rPr>
        <w:t>供应过程中严格要求</w:t>
      </w:r>
      <w:r>
        <w:rPr>
          <w:rFonts w:hint="eastAsia" w:ascii="宋体" w:hAnsi="宋体" w:cs="宋体"/>
          <w:sz w:val="24"/>
          <w:szCs w:val="24"/>
          <w:lang w:val="en-US" w:eastAsia="zh-CN"/>
        </w:rPr>
        <w:t>块石</w:t>
      </w:r>
      <w:r>
        <w:rPr>
          <w:rFonts w:hint="eastAsia" w:ascii="宋体" w:hAnsi="宋体" w:cs="宋体"/>
          <w:sz w:val="24"/>
          <w:szCs w:val="24"/>
        </w:rPr>
        <w:t>质量，如若供应过程中项目部查出供应商以次充好的，项目部将没收其履约保证金。造成项目部相关损失的（包括但不限于工程产品报废、返工返修、工期延误、鉴定费、律师费、诉讼费、差旅费</w:t>
      </w:r>
      <w:r>
        <w:rPr>
          <w:rFonts w:ascii="宋体" w:hAnsi="宋体" w:cs="宋体"/>
          <w:sz w:val="24"/>
          <w:szCs w:val="24"/>
        </w:rPr>
        <w:t>等费用和损失</w:t>
      </w:r>
      <w:r>
        <w:rPr>
          <w:rFonts w:hint="eastAsia" w:ascii="宋体" w:hAnsi="宋体" w:cs="宋体"/>
          <w:sz w:val="24"/>
          <w:szCs w:val="24"/>
        </w:rPr>
        <w:t>），负责赔偿相关损失，并承担相关责任。</w:t>
      </w:r>
      <w:r>
        <w:rPr>
          <w:rFonts w:hint="eastAsia" w:ascii="宋体" w:hAnsi="宋体" w:cs="宋体"/>
          <w:b/>
          <w:bCs/>
          <w:sz w:val="24"/>
          <w:szCs w:val="24"/>
        </w:rPr>
        <w:t>在监理、业主见证取样且船检合格后卸船。</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lang w:eastAsia="zh-Hans"/>
        </w:rPr>
      </w:pPr>
      <w:r>
        <w:rPr>
          <w:rFonts w:ascii="Times New Roman" w:hAnsi="Times New Roman" w:cs="Times New Roman"/>
        </w:rPr>
        <w:t>6</w:t>
      </w:r>
      <w:r>
        <w:rPr>
          <w:rFonts w:ascii="Times New Roman" w:hAnsi="Times New Roman" w:cs="Times New Roman"/>
          <w:lang w:eastAsia="zh-Hans"/>
        </w:rPr>
        <w:t>、供货时间：预计从202</w:t>
      </w:r>
      <w:r>
        <w:rPr>
          <w:rFonts w:hint="eastAsia" w:ascii="Times New Roman" w:hAnsi="Times New Roman" w:cs="Times New Roman"/>
          <w:lang w:val="en-US" w:eastAsia="zh-CN"/>
        </w:rPr>
        <w:t>6</w:t>
      </w:r>
      <w:r>
        <w:rPr>
          <w:rFonts w:ascii="Times New Roman" w:hAnsi="Times New Roman" w:cs="Times New Roman"/>
          <w:lang w:eastAsia="zh-Hans"/>
        </w:rPr>
        <w:t>年</w:t>
      </w:r>
      <w:r>
        <w:rPr>
          <w:rFonts w:hint="eastAsia" w:ascii="Times New Roman" w:hAnsi="Times New Roman" w:cs="Times New Roman"/>
          <w:lang w:val="en-US" w:eastAsia="zh-CN"/>
        </w:rPr>
        <w:t>5</w:t>
      </w:r>
      <w:r>
        <w:rPr>
          <w:rFonts w:ascii="Times New Roman" w:hAnsi="Times New Roman" w:cs="Times New Roman"/>
          <w:lang w:eastAsia="zh-Hans"/>
        </w:rPr>
        <w:t>月</w:t>
      </w:r>
      <w:r>
        <w:rPr>
          <w:rFonts w:hint="eastAsia" w:ascii="Times New Roman" w:hAnsi="Times New Roman" w:cs="Times New Roman"/>
          <w:lang w:val="en-US" w:eastAsia="zh-CN"/>
        </w:rPr>
        <w:t>26</w:t>
      </w:r>
      <w:r>
        <w:rPr>
          <w:rFonts w:ascii="Times New Roman" w:hAnsi="Times New Roman" w:cs="Times New Roman"/>
          <w:lang w:eastAsia="zh-Hans"/>
        </w:rPr>
        <w:t>日至202</w:t>
      </w:r>
      <w:r>
        <w:rPr>
          <w:rFonts w:hint="eastAsia" w:ascii="Times New Roman" w:hAnsi="Times New Roman" w:cs="Times New Roman"/>
          <w:lang w:val="en-US" w:eastAsia="zh-CN"/>
        </w:rPr>
        <w:t>7</w:t>
      </w:r>
      <w:r>
        <w:rPr>
          <w:rFonts w:ascii="Times New Roman" w:hAnsi="Times New Roman" w:cs="Times New Roman"/>
          <w:lang w:eastAsia="zh-Hans"/>
        </w:rPr>
        <w:t>年</w:t>
      </w:r>
      <w:r>
        <w:rPr>
          <w:rFonts w:hint="eastAsia" w:ascii="Times New Roman" w:hAnsi="Times New Roman" w:cs="Times New Roman"/>
          <w:lang w:val="en-US" w:eastAsia="zh-CN"/>
        </w:rPr>
        <w:t>5</w:t>
      </w:r>
      <w:r>
        <w:rPr>
          <w:rFonts w:ascii="Times New Roman" w:hAnsi="Times New Roman" w:cs="Times New Roman"/>
          <w:lang w:eastAsia="zh-Hans"/>
        </w:rPr>
        <w:t>月</w:t>
      </w:r>
      <w:r>
        <w:rPr>
          <w:rFonts w:ascii="Times New Roman" w:hAnsi="Times New Roman" w:cs="Times New Roman"/>
        </w:rPr>
        <w:t>31</w:t>
      </w:r>
      <w:r>
        <w:rPr>
          <w:rFonts w:ascii="Times New Roman" w:hAnsi="Times New Roman" w:cs="Times New Roman"/>
          <w:lang w:eastAsia="zh-Hans"/>
        </w:rPr>
        <w:t>日，具体供货开始和结束期限以项目实际需求为准，</w:t>
      </w:r>
      <w:r>
        <w:rPr>
          <w:rFonts w:hint="eastAsia" w:ascii="Times New Roman" w:hAnsi="Times New Roman" w:cs="Times New Roman"/>
          <w:b/>
          <w:bCs/>
          <w:color w:val="FF0000"/>
          <w:lang w:val="en-US" w:eastAsia="zh-CN"/>
        </w:rPr>
        <w:t>供货高峰期为2026年5月26日-2026年6月15日需供货36000吨，该供货周期内每天需到货2000吨左右。2026年11月-2027年1月，</w:t>
      </w:r>
      <w:r>
        <w:rPr>
          <w:rFonts w:ascii="Times New Roman" w:hAnsi="Times New Roman" w:cs="Times New Roman"/>
          <w:b/>
          <w:bCs/>
          <w:color w:val="FF0000"/>
        </w:rPr>
        <w:t>块石</w:t>
      </w:r>
      <w:r>
        <w:rPr>
          <w:rFonts w:ascii="Times New Roman" w:hAnsi="Times New Roman" w:cs="Times New Roman"/>
          <w:b/>
          <w:bCs/>
          <w:color w:val="FF0000"/>
          <w:lang w:eastAsia="zh-Hans"/>
        </w:rPr>
        <w:t>用量高峰时需</w:t>
      </w:r>
      <w:r>
        <w:rPr>
          <w:rFonts w:ascii="Times New Roman" w:hAnsi="Times New Roman" w:cs="Times New Roman"/>
          <w:b/>
          <w:bCs/>
          <w:color w:val="FF0000"/>
        </w:rPr>
        <w:t>24小时随时供货，急需货时不到货供货方每次支付违约金500</w:t>
      </w:r>
      <w:r>
        <w:rPr>
          <w:rFonts w:hint="eastAsia" w:ascii="Times New Roman" w:hAnsi="Times New Roman" w:cs="Times New Roman"/>
          <w:b/>
          <w:bCs/>
          <w:color w:val="FF0000"/>
          <w:lang w:val="en-US" w:eastAsia="zh-CN"/>
        </w:rPr>
        <w:t>0</w:t>
      </w:r>
      <w:r>
        <w:rPr>
          <w:rFonts w:ascii="Times New Roman" w:hAnsi="Times New Roman" w:cs="Times New Roman"/>
          <w:b/>
          <w:bCs/>
          <w:color w:val="FF0000"/>
        </w:rPr>
        <w:t>0元</w:t>
      </w:r>
      <w:r>
        <w:rPr>
          <w:rFonts w:ascii="Times New Roman" w:hAnsi="Times New Roman" w:cs="Times New Roman"/>
          <w:lang w:eastAsia="zh-Hans"/>
        </w:rPr>
        <w:t>。</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rPr>
      </w:pPr>
      <w:r>
        <w:rPr>
          <w:rFonts w:ascii="Times New Roman" w:hAnsi="Times New Roman" w:cs="Times New Roman"/>
        </w:rPr>
        <w:t>7</w:t>
      </w:r>
      <w:r>
        <w:rPr>
          <w:rFonts w:ascii="Times New Roman" w:hAnsi="Times New Roman" w:cs="Times New Roman"/>
          <w:lang w:eastAsia="zh-Hans"/>
        </w:rPr>
        <w:t>、送货地点：</w:t>
      </w:r>
      <w:r>
        <w:rPr>
          <w:rFonts w:hint="eastAsia" w:ascii="Times New Roman" w:hAnsi="Times New Roman" w:cs="Times New Roman"/>
          <w:lang w:val="en-US" w:eastAsia="zh-Hans"/>
        </w:rPr>
        <w:t>淮河入海水道二期工程盐城市境内河道工程施工17标</w:t>
      </w:r>
      <w:r>
        <w:rPr>
          <w:rFonts w:ascii="Times New Roman" w:hAnsi="Times New Roman" w:cs="Times New Roman"/>
        </w:rPr>
        <w:t>（桩号</w:t>
      </w:r>
      <w:r>
        <w:rPr>
          <w:rFonts w:hint="eastAsia" w:ascii="Times New Roman" w:hAnsi="Times New Roman" w:cs="Times New Roman"/>
          <w:lang w:val="en-US" w:eastAsia="zh-CN"/>
        </w:rPr>
        <w:t>146+5</w:t>
      </w:r>
      <w:r>
        <w:rPr>
          <w:rFonts w:ascii="Times New Roman" w:hAnsi="Times New Roman" w:cs="Times New Roman"/>
        </w:rPr>
        <w:t>00～1</w:t>
      </w:r>
      <w:r>
        <w:rPr>
          <w:rFonts w:hint="eastAsia" w:ascii="Times New Roman" w:hAnsi="Times New Roman" w:cs="Times New Roman"/>
          <w:lang w:val="en-US" w:eastAsia="zh-CN"/>
        </w:rPr>
        <w:t>50</w:t>
      </w:r>
      <w:r>
        <w:rPr>
          <w:rFonts w:ascii="Times New Roman" w:hAnsi="Times New Roman" w:cs="Times New Roman"/>
        </w:rPr>
        <w:t>+000）施工现场（江苏省盐城市滨海县境内）</w:t>
      </w:r>
      <w:r>
        <w:rPr>
          <w:rFonts w:ascii="Times New Roman" w:hAnsi="Times New Roman" w:cs="Times New Roman"/>
          <w:lang w:eastAsia="zh-Hans"/>
        </w:rPr>
        <w:t>。</w:t>
      </w:r>
      <w:r>
        <w:rPr>
          <w:rFonts w:ascii="Times New Roman" w:hAnsi="Times New Roman" w:cs="Times New Roman"/>
        </w:rPr>
        <w:t>送货时同时提供出厂合格证明等。</w:t>
      </w:r>
    </w:p>
    <w:p>
      <w:pPr>
        <w:pStyle w:val="2"/>
        <w:keepNext w:val="0"/>
        <w:keepLines w:val="0"/>
        <w:pageBreakBefore w:val="0"/>
        <w:widowControl w:val="0"/>
        <w:kinsoku/>
        <w:wordWrap/>
        <w:overflowPunct/>
        <w:topLinePunct w:val="0"/>
        <w:autoSpaceDE/>
        <w:autoSpaceDN/>
        <w:bidi w:val="0"/>
        <w:adjustRightInd/>
        <w:snapToGrid/>
        <w:spacing w:before="0" w:line="324" w:lineRule="auto"/>
        <w:textAlignment w:val="auto"/>
        <w:rPr>
          <w:rFonts w:hint="default" w:eastAsia="宋体"/>
          <w:b/>
          <w:bCs/>
          <w:highlight w:val="red"/>
          <w:lang w:val="en-US" w:eastAsia="zh-CN"/>
        </w:rPr>
      </w:pPr>
      <w:r>
        <w:rPr>
          <w:rFonts w:hint="eastAsia" w:ascii="Times New Roman" w:hAnsi="Times New Roman" w:eastAsia="宋体" w:cs="Times New Roman"/>
          <w:kern w:val="2"/>
          <w:sz w:val="24"/>
          <w:szCs w:val="24"/>
          <w:lang w:val="en-US" w:eastAsia="zh-CN" w:bidi="ar-SA"/>
        </w:rPr>
        <w:t>8、</w:t>
      </w:r>
      <w:r>
        <w:rPr>
          <w:rFonts w:hint="eastAsia" w:ascii="Times New Roman" w:hAnsi="Times New Roman" w:cs="Times New Roman"/>
          <w:color w:val="0000FF"/>
          <w:kern w:val="2"/>
          <w:sz w:val="24"/>
          <w:szCs w:val="24"/>
          <w:lang w:val="en-US" w:eastAsia="zh-CN" w:bidi="ar-SA"/>
        </w:rPr>
        <w:t>投标前</w:t>
      </w:r>
      <w:r>
        <w:rPr>
          <w:rFonts w:hint="eastAsia" w:ascii="Times New Roman" w:hAnsi="Times New Roman"/>
          <w:color w:val="0000FF"/>
          <w:sz w:val="24"/>
          <w:szCs w:val="24"/>
          <w:lang w:val="en-US" w:eastAsia="zh-CN"/>
        </w:rPr>
        <w:t>投标人须到达施工现场以了解场地条件，包括但不限行施工现场周边环境、基础设施、运输条件、限制条件（如噪音、环保要求等）、供货过程中的协作事项及安全注意事项等。投标人一旦参与投标则视同已了解施工现场的场地条件，投标人因未到施工现场察看现场造成对本招标文件、场地条件等理解偏差造成的投标失误和和中标后的责任、风险和损失由投标人承担。</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rPr>
      </w:pPr>
      <w:r>
        <w:rPr>
          <w:rFonts w:hint="eastAsia" w:ascii="Times New Roman" w:hAnsi="Times New Roman" w:cs="Times New Roman"/>
          <w:lang w:val="en-US" w:eastAsia="zh-CN"/>
        </w:rPr>
        <w:t>9</w:t>
      </w:r>
      <w:r>
        <w:rPr>
          <w:rFonts w:ascii="Times New Roman" w:hAnsi="Times New Roman" w:cs="Times New Roman"/>
        </w:rPr>
        <w:t>、中标人需派专人为项目部提供7</w:t>
      </w:r>
      <w:r>
        <w:rPr>
          <w:rFonts w:ascii="Times New Roman" w:hAnsi="Times New Roman" w:cs="Times New Roman"/>
          <w:szCs w:val="21"/>
        </w:rPr>
        <w:t>×</w:t>
      </w:r>
      <w:r>
        <w:rPr>
          <w:rFonts w:ascii="Times New Roman" w:hAnsi="Times New Roman" w:cs="Times New Roman"/>
        </w:rPr>
        <w:t>24小时的服务，包括但不限于工程项目部供货计划的接收、供货的协调、块石收货签单的核对、与项目部办理结算等。提供服务人员须在半小时内能赶到施工现场。人员费用包含在投标报价中。</w:t>
      </w:r>
    </w:p>
    <w:p>
      <w:pPr>
        <w:keepNext w:val="0"/>
        <w:keepLines w:val="0"/>
        <w:pageBreakBefore w:val="0"/>
        <w:widowControl w:val="0"/>
        <w:kinsoku/>
        <w:wordWrap/>
        <w:overflowPunct/>
        <w:topLinePunct w:val="0"/>
        <w:autoSpaceDE/>
        <w:autoSpaceDN/>
        <w:bidi w:val="0"/>
        <w:adjustRightInd/>
        <w:snapToGrid/>
        <w:spacing w:line="324" w:lineRule="auto"/>
        <w:ind w:left="-28" w:firstLine="482"/>
        <w:jc w:val="left"/>
        <w:textAlignment w:val="auto"/>
        <w:rPr>
          <w:rFonts w:ascii="Times New Roman" w:hAnsi="Times New Roman" w:cs="Times New Roman"/>
          <w:b/>
          <w:bCs/>
        </w:rPr>
      </w:pPr>
      <w:r>
        <w:rPr>
          <w:rFonts w:ascii="Times New Roman" w:hAnsi="Times New Roman" w:cs="Times New Roman"/>
          <w:b/>
          <w:bCs/>
        </w:rPr>
        <w:t>六、结算和付款方式</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lang w:eastAsia="zh-Hans"/>
        </w:rPr>
      </w:pPr>
      <w:r>
        <w:rPr>
          <w:rFonts w:ascii="Times New Roman" w:hAnsi="Times New Roman" w:cs="Times New Roman"/>
          <w:lang w:eastAsia="zh-Hans"/>
        </w:rPr>
        <w:t>1</w:t>
      </w:r>
      <w:r>
        <w:rPr>
          <w:rFonts w:ascii="Times New Roman" w:hAnsi="Times New Roman" w:cs="Times New Roman"/>
        </w:rPr>
        <w:t>、</w:t>
      </w:r>
      <w:r>
        <w:rPr>
          <w:rFonts w:ascii="Times New Roman" w:hAnsi="Times New Roman" w:cs="Times New Roman"/>
          <w:lang w:eastAsia="zh-Hans"/>
        </w:rPr>
        <w:t>结算依据</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lang w:eastAsia="zh-Hans"/>
        </w:rPr>
      </w:pPr>
      <w:r>
        <w:rPr>
          <w:rFonts w:ascii="Times New Roman" w:hAnsi="Times New Roman" w:cs="Times New Roman"/>
        </w:rPr>
        <w:t>进场的块石满足本招标文件所述质量要求的前提下，招标人</w:t>
      </w:r>
      <w:r>
        <w:rPr>
          <w:rFonts w:ascii="Times New Roman" w:hAnsi="Times New Roman" w:cs="Times New Roman"/>
          <w:lang w:eastAsia="zh-Hans"/>
        </w:rPr>
        <w:t>指派的人员在工地现场经过磅后</w:t>
      </w:r>
      <w:r>
        <w:rPr>
          <w:rFonts w:ascii="Times New Roman" w:hAnsi="Times New Roman" w:cs="Times New Roman"/>
        </w:rPr>
        <w:t>，块石收货人员签字的</w:t>
      </w:r>
      <w:r>
        <w:rPr>
          <w:rFonts w:ascii="Times New Roman" w:hAnsi="Times New Roman" w:cs="Times New Roman"/>
          <w:lang w:eastAsia="zh-Hans"/>
        </w:rPr>
        <w:t>签收单</w:t>
      </w:r>
      <w:r>
        <w:rPr>
          <w:rFonts w:hint="eastAsia" w:ascii="Times New Roman" w:hAnsi="Times New Roman" w:cs="Times New Roman"/>
          <w:lang w:val="en-US" w:eastAsia="zh-CN"/>
        </w:rPr>
        <w:t>合格</w:t>
      </w:r>
      <w:r>
        <w:rPr>
          <w:rFonts w:ascii="Times New Roman" w:hAnsi="Times New Roman" w:cs="Times New Roman"/>
          <w:lang w:eastAsia="zh-Hans"/>
        </w:rPr>
        <w:t>数量</w:t>
      </w:r>
      <w:r>
        <w:rPr>
          <w:rFonts w:ascii="Times New Roman" w:hAnsi="Times New Roman" w:cs="Times New Roman"/>
        </w:rPr>
        <w:t>为</w:t>
      </w:r>
      <w:r>
        <w:rPr>
          <w:rFonts w:ascii="Times New Roman" w:hAnsi="Times New Roman" w:cs="Times New Roman"/>
          <w:lang w:eastAsia="zh-Hans"/>
        </w:rPr>
        <w:t>计量</w:t>
      </w:r>
      <w:r>
        <w:rPr>
          <w:rFonts w:ascii="Times New Roman" w:hAnsi="Times New Roman" w:cs="Times New Roman"/>
        </w:rPr>
        <w:t>的数量。签收单</w:t>
      </w:r>
      <w:r>
        <w:rPr>
          <w:rFonts w:ascii="Times New Roman" w:hAnsi="Times New Roman" w:cs="Times New Roman"/>
          <w:lang w:eastAsia="zh-Hans"/>
        </w:rPr>
        <w:t>结合相应单价作为结算依据，非有效授权人签署的签收单一律无效。</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lang w:eastAsia="zh-Hans"/>
        </w:rPr>
      </w:pPr>
      <w:r>
        <w:rPr>
          <w:rFonts w:ascii="Times New Roman" w:hAnsi="Times New Roman" w:cs="Times New Roman"/>
          <w:lang w:eastAsia="zh-Hans"/>
        </w:rPr>
        <w:t>2</w:t>
      </w:r>
      <w:r>
        <w:rPr>
          <w:rFonts w:ascii="Times New Roman" w:hAnsi="Times New Roman" w:cs="Times New Roman"/>
        </w:rPr>
        <w:t>、</w:t>
      </w:r>
      <w:r>
        <w:rPr>
          <w:rFonts w:ascii="Times New Roman" w:hAnsi="Times New Roman" w:cs="Times New Roman"/>
          <w:lang w:eastAsia="zh-Hans"/>
        </w:rPr>
        <w:t>结算方式</w:t>
      </w:r>
      <w:bookmarkStart w:id="4" w:name="_Hlk96449590"/>
    </w:p>
    <w:bookmarkEnd w:id="4"/>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lang w:eastAsia="zh-Hans"/>
        </w:rPr>
      </w:pPr>
      <w:r>
        <w:rPr>
          <w:rFonts w:ascii="Times New Roman" w:hAnsi="Times New Roman" w:cs="Times New Roman"/>
          <w:lang w:eastAsia="zh-Hans"/>
        </w:rPr>
        <w:t>按月结算，供货方在每月</w:t>
      </w:r>
      <w:r>
        <w:rPr>
          <w:rFonts w:ascii="Times New Roman" w:hAnsi="Times New Roman" w:cs="Times New Roman"/>
        </w:rPr>
        <w:t>25</w:t>
      </w:r>
      <w:r>
        <w:rPr>
          <w:rFonts w:ascii="Times New Roman" w:hAnsi="Times New Roman" w:cs="Times New Roman"/>
          <w:lang w:eastAsia="zh-Hans"/>
        </w:rPr>
        <w:t>日前与招标人项目部核对</w:t>
      </w:r>
      <w:r>
        <w:rPr>
          <w:rFonts w:hint="eastAsia"/>
          <w:lang w:eastAsia="zh-Hans"/>
        </w:rPr>
        <w:t>上月</w:t>
      </w:r>
      <w:r>
        <w:rPr>
          <w:rFonts w:hint="eastAsia"/>
          <w:lang w:val="en-US" w:eastAsia="zh-CN"/>
        </w:rPr>
        <w:t>结算截止日后</w:t>
      </w:r>
      <w:r>
        <w:rPr>
          <w:rFonts w:ascii="Times New Roman" w:hAnsi="Times New Roman" w:cs="Times New Roman"/>
          <w:lang w:eastAsia="zh-Hans"/>
        </w:rPr>
        <w:t>所供</w:t>
      </w:r>
      <w:r>
        <w:rPr>
          <w:rFonts w:ascii="Times New Roman" w:hAnsi="Times New Roman" w:cs="Times New Roman"/>
        </w:rPr>
        <w:t>块石</w:t>
      </w:r>
      <w:r>
        <w:rPr>
          <w:rFonts w:ascii="Times New Roman" w:hAnsi="Times New Roman" w:cs="Times New Roman"/>
          <w:lang w:eastAsia="zh-Hans"/>
        </w:rPr>
        <w:t>数量及货款，</w:t>
      </w:r>
      <w:r>
        <w:rPr>
          <w:rFonts w:ascii="Times New Roman" w:hAnsi="Times New Roman" w:cs="Times New Roman"/>
        </w:rPr>
        <w:t>对账后次月10日前</w:t>
      </w:r>
      <w:r>
        <w:rPr>
          <w:rFonts w:ascii="Times New Roman" w:hAnsi="Times New Roman" w:cs="Times New Roman"/>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w:t>
      </w:r>
      <w:r>
        <w:rPr>
          <w:rFonts w:hint="eastAsia"/>
          <w:lang w:eastAsia="zh-Hans"/>
        </w:rPr>
        <w:t>分公司相关人员审批后方为有效。</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lang w:eastAsia="zh-Hans"/>
        </w:rPr>
      </w:pPr>
      <w:r>
        <w:rPr>
          <w:rFonts w:ascii="Times New Roman" w:hAnsi="Times New Roman" w:cs="Times New Roman"/>
        </w:rPr>
        <w:t>中标人</w:t>
      </w:r>
      <w:r>
        <w:rPr>
          <w:rFonts w:ascii="Times New Roman" w:hAnsi="Times New Roman" w:cs="Times New Roman"/>
          <w:lang w:eastAsia="zh-Hans"/>
        </w:rPr>
        <w:t>同时承诺：每个结算期内的所有</w:t>
      </w:r>
      <w:r>
        <w:rPr>
          <w:rFonts w:ascii="Times New Roman" w:hAnsi="Times New Roman" w:cs="Times New Roman"/>
        </w:rPr>
        <w:t>块石</w:t>
      </w:r>
      <w:r>
        <w:rPr>
          <w:rFonts w:ascii="Times New Roman" w:hAnsi="Times New Roman" w:cs="Times New Roman"/>
          <w:lang w:eastAsia="zh-Hans"/>
        </w:rPr>
        <w:t>数量均已结报完毕，无其他争议，所结报的</w:t>
      </w:r>
      <w:r>
        <w:rPr>
          <w:rFonts w:ascii="Times New Roman" w:hAnsi="Times New Roman" w:cs="Times New Roman"/>
        </w:rPr>
        <w:t>块石</w:t>
      </w:r>
      <w:r>
        <w:rPr>
          <w:rFonts w:ascii="Times New Roman" w:hAnsi="Times New Roman" w:cs="Times New Roman"/>
          <w:lang w:eastAsia="zh-Hans"/>
        </w:rPr>
        <w:t>数量真实有效。结算金额达到20万元以上以及最终结算，结算单在双方会签后，报</w:t>
      </w:r>
      <w:r>
        <w:rPr>
          <w:rFonts w:ascii="Times New Roman" w:hAnsi="Times New Roman" w:cs="Times New Roman"/>
        </w:rPr>
        <w:t>招标人的</w:t>
      </w:r>
      <w:r>
        <w:rPr>
          <w:rFonts w:ascii="Times New Roman" w:hAnsi="Times New Roman" w:cs="Times New Roman"/>
          <w:lang w:eastAsia="zh-Hans"/>
        </w:rPr>
        <w:t>分公司</w:t>
      </w:r>
      <w:r>
        <w:rPr>
          <w:rFonts w:ascii="Times New Roman" w:hAnsi="Times New Roman" w:cs="Times New Roman"/>
        </w:rPr>
        <w:t>指定人员</w:t>
      </w:r>
      <w:r>
        <w:rPr>
          <w:rFonts w:ascii="Times New Roman" w:hAnsi="Times New Roman" w:cs="Times New Roman"/>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cs="Times New Roman"/>
        </w:rPr>
        <w:t>招标人</w:t>
      </w:r>
      <w:r>
        <w:rPr>
          <w:rFonts w:ascii="Times New Roman" w:hAnsi="Times New Roman" w:cs="Times New Roman"/>
          <w:lang w:eastAsia="zh-Hans"/>
        </w:rPr>
        <w:t>公司财务物资部协调处置，财务物资部须在15个工作日内解决，财务物资部联系电话：0514-87361764，联系人：朱丽。</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lang w:eastAsia="zh-Hans"/>
        </w:rPr>
      </w:pPr>
      <w:r>
        <w:rPr>
          <w:rFonts w:ascii="Times New Roman" w:hAnsi="Times New Roman" w:cs="Times New Roman"/>
          <w:lang w:eastAsia="zh-Hans"/>
        </w:rPr>
        <w:t>3</w:t>
      </w:r>
      <w:r>
        <w:rPr>
          <w:rFonts w:ascii="Times New Roman" w:hAnsi="Times New Roman" w:cs="Times New Roman"/>
        </w:rPr>
        <w:t>、</w:t>
      </w:r>
      <w:r>
        <w:rPr>
          <w:rFonts w:ascii="Times New Roman" w:hAnsi="Times New Roman" w:cs="Times New Roman"/>
          <w:lang w:eastAsia="zh-Hans"/>
        </w:rPr>
        <w:t>付款方式</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ascii="Times New Roman" w:hAnsi="Times New Roman" w:cs="Times New Roman"/>
        </w:rPr>
      </w:pPr>
      <w:r>
        <w:rPr>
          <w:rFonts w:ascii="Times New Roman" w:hAnsi="Times New Roman" w:cs="Times New Roman"/>
        </w:rPr>
        <w:t>供货人材料到场后，采购人于当月25日进行结算，当月结算完成</w:t>
      </w:r>
      <w:r>
        <w:rPr>
          <w:rFonts w:hint="eastAsia" w:ascii="Times New Roman" w:hAnsi="Times New Roman" w:cs="Times New Roman"/>
          <w:lang w:eastAsia="zh-CN"/>
        </w:rPr>
        <w:t>，</w:t>
      </w:r>
      <w:r>
        <w:rPr>
          <w:rFonts w:hint="eastAsia"/>
          <w:lang w:eastAsia="zh-Hans"/>
        </w:rPr>
        <w:t>双方</w:t>
      </w:r>
      <w:r>
        <w:rPr>
          <w:rFonts w:hint="eastAsia"/>
        </w:rPr>
        <w:t>对账后次月10日前</w:t>
      </w:r>
      <w:r>
        <w:rPr>
          <w:rFonts w:hint="eastAsia"/>
          <w:lang w:eastAsia="zh-Hans"/>
        </w:rPr>
        <w:t>办理结算手续，</w:t>
      </w:r>
      <w:r>
        <w:rPr>
          <w:rFonts w:hint="eastAsia"/>
          <w:lang w:val="en-US" w:eastAsia="zh-CN"/>
        </w:rPr>
        <w:t>供货方</w:t>
      </w:r>
      <w:r>
        <w:rPr>
          <w:rFonts w:hint="eastAsia"/>
          <w:lang w:eastAsia="zh-Hans"/>
        </w:rPr>
        <w:t>同时提供</w:t>
      </w:r>
      <w:r>
        <w:rPr>
          <w:rFonts w:hint="eastAsia"/>
        </w:rPr>
        <w:t>已</w:t>
      </w:r>
      <w:r>
        <w:rPr>
          <w:rFonts w:hint="eastAsia"/>
          <w:lang w:eastAsia="zh-Hans"/>
        </w:rPr>
        <w:t>结算货款等额的增值税专用发票后10个工作日内，付至已结算货款的90%；余款在材料检测合格</w:t>
      </w:r>
      <w:r>
        <w:rPr>
          <w:rFonts w:hint="eastAsia"/>
        </w:rPr>
        <w:t>并结算手续办理</w:t>
      </w:r>
      <w:r>
        <w:rPr>
          <w:rFonts w:hint="eastAsia"/>
          <w:lang w:eastAsia="zh-Hans"/>
        </w:rPr>
        <w:t>后</w:t>
      </w:r>
      <w:r>
        <w:rPr>
          <w:rFonts w:hint="eastAsia"/>
        </w:rPr>
        <w:t>60</w:t>
      </w:r>
      <w:r>
        <w:rPr>
          <w:rFonts w:hint="eastAsia"/>
          <w:lang w:eastAsia="zh-Hans"/>
        </w:rPr>
        <w:t>天内付清。支付款项前，供货方须按付款额开具并加盖财务专用章的收款收据。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snapToGrid/>
        <w:spacing w:line="324" w:lineRule="auto"/>
        <w:ind w:left="-28" w:firstLine="482"/>
        <w:jc w:val="left"/>
        <w:textAlignment w:val="auto"/>
        <w:rPr>
          <w:rFonts w:ascii="Times New Roman" w:hAnsi="Times New Roman" w:cs="Times New Roman"/>
          <w:b/>
          <w:bCs/>
        </w:rPr>
      </w:pPr>
      <w:r>
        <w:rPr>
          <w:rFonts w:ascii="Times New Roman" w:hAnsi="Times New Roman" w:cs="Times New Roman"/>
          <w:b/>
          <w:bCs/>
        </w:rPr>
        <w:t>七、招标文件的澄清</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lang w:eastAsia="zh-Hans"/>
        </w:rPr>
      </w:pPr>
      <w:r>
        <w:rPr>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snapToGrid/>
        <w:spacing w:line="324" w:lineRule="auto"/>
        <w:ind w:left="-28" w:firstLine="482"/>
        <w:jc w:val="left"/>
        <w:textAlignment w:val="auto"/>
        <w:rPr>
          <w:rFonts w:ascii="Times New Roman" w:hAnsi="Times New Roman" w:cs="Times New Roman"/>
          <w:b/>
          <w:bCs/>
        </w:rPr>
      </w:pPr>
      <w:r>
        <w:rPr>
          <w:rFonts w:ascii="Times New Roman" w:hAnsi="Times New Roman" w:cs="Times New Roman"/>
          <w:b/>
          <w:bCs/>
        </w:rPr>
        <w:t>八、投标文件的编制</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1、投标文件使用的质量、技术等规范应符合国家有关标准。</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snapToGrid/>
        <w:spacing w:line="324" w:lineRule="auto"/>
        <w:ind w:left="-28" w:firstLine="482"/>
        <w:jc w:val="left"/>
        <w:textAlignment w:val="auto"/>
        <w:rPr>
          <w:rFonts w:ascii="Times New Roman" w:hAnsi="Times New Roman" w:cs="Times New Roman"/>
          <w:b/>
          <w:bCs/>
        </w:rPr>
      </w:pPr>
      <w:r>
        <w:rPr>
          <w:rFonts w:ascii="Times New Roman" w:hAnsi="Times New Roman" w:cs="Times New Roman"/>
          <w:b/>
          <w:bCs/>
        </w:rPr>
        <w:t>九、投标文件组成</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1、投标文件封面（附件1）</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2、投标函（附件2）</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3、投标报价</w:t>
      </w:r>
      <w:r>
        <w:rPr>
          <w:rFonts w:hint="eastAsia"/>
        </w:rPr>
        <w:t>单</w:t>
      </w:r>
      <w:r>
        <w:t>（见附件3）</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4、投标单位法定代表人身份证明书（见附件4）</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5、授权委托书（见附件5）</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6、投标单位资信证明资料（见附件6）</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7、营业执照及投标截止日期前28天内的拟供规格</w:t>
      </w:r>
      <w:r>
        <w:rPr>
          <w:rFonts w:hint="eastAsia"/>
        </w:rPr>
        <w:t>块石</w:t>
      </w:r>
      <w:r>
        <w:t>的检测报告等相关资料</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8、投标保证金（汇款凭证）</w:t>
      </w:r>
    </w:p>
    <w:p>
      <w:pPr>
        <w:keepNext w:val="0"/>
        <w:keepLines w:val="0"/>
        <w:pageBreakBefore w:val="0"/>
        <w:widowControl w:val="0"/>
        <w:kinsoku/>
        <w:wordWrap/>
        <w:overflowPunct/>
        <w:topLinePunct w:val="0"/>
        <w:autoSpaceDE/>
        <w:autoSpaceDN/>
        <w:bidi w:val="0"/>
        <w:adjustRightInd/>
        <w:snapToGrid/>
        <w:spacing w:line="324" w:lineRule="auto"/>
        <w:ind w:left="-28" w:firstLine="482"/>
        <w:jc w:val="left"/>
        <w:textAlignment w:val="auto"/>
        <w:rPr>
          <w:rFonts w:ascii="Times New Roman" w:hAnsi="Times New Roman" w:cs="Times New Roman"/>
          <w:b/>
          <w:bCs/>
        </w:rPr>
      </w:pPr>
      <w:r>
        <w:rPr>
          <w:rFonts w:ascii="Times New Roman" w:hAnsi="Times New Roman" w:cs="Times New Roman"/>
          <w:b/>
          <w:bCs/>
        </w:rPr>
        <w:t>十、评标方式、标准及方法</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本次招标评标标准：在</w:t>
      </w:r>
      <w:r>
        <w:rPr>
          <w:b/>
          <w:bCs/>
        </w:rPr>
        <w:t>同等条件</w:t>
      </w:r>
      <w:r>
        <w:rPr>
          <w:rFonts w:hint="eastAsia"/>
          <w:b/>
          <w:bCs/>
        </w:rPr>
        <w:t>（包括但不限于样品质量）</w:t>
      </w:r>
      <w:r>
        <w:t>下以</w:t>
      </w:r>
      <w:r>
        <w:rPr>
          <w:rFonts w:hint="eastAsia"/>
        </w:rPr>
        <w:t>不含增值税的</w:t>
      </w:r>
      <w:r>
        <w:t>价格低者</w:t>
      </w:r>
      <w:r>
        <w:rPr>
          <w:rFonts w:hint="eastAsia"/>
        </w:rPr>
        <w:t>优先</w:t>
      </w:r>
      <w:r>
        <w:t>。</w:t>
      </w:r>
    </w:p>
    <w:p>
      <w:pPr>
        <w:keepNext w:val="0"/>
        <w:keepLines w:val="0"/>
        <w:pageBreakBefore w:val="0"/>
        <w:widowControl w:val="0"/>
        <w:kinsoku/>
        <w:wordWrap/>
        <w:overflowPunct/>
        <w:topLinePunct w:val="0"/>
        <w:autoSpaceDE/>
        <w:autoSpaceDN/>
        <w:bidi w:val="0"/>
        <w:adjustRightInd/>
        <w:snapToGrid/>
        <w:spacing w:line="324" w:lineRule="auto"/>
        <w:ind w:left="-28" w:firstLine="482"/>
        <w:jc w:val="left"/>
        <w:textAlignment w:val="auto"/>
        <w:rPr>
          <w:rFonts w:ascii="Times New Roman" w:hAnsi="Times New Roman" w:cs="Times New Roman"/>
          <w:b/>
          <w:bCs/>
        </w:rPr>
      </w:pPr>
      <w:r>
        <w:rPr>
          <w:rFonts w:ascii="Times New Roman" w:hAnsi="Times New Roman" w:cs="Times New Roman"/>
          <w:b/>
          <w:bCs/>
        </w:rPr>
        <w:t>十一、有下列情况之一，</w:t>
      </w:r>
      <w:r>
        <w:rPr>
          <w:rFonts w:ascii="Times New Roman" w:hAnsi="Times New Roman" w:cs="Times New Roman"/>
          <w:b/>
          <w:bCs/>
          <w:color w:val="FF0000"/>
        </w:rPr>
        <w:t>视为无效标：</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（1）投标书未加盖投标人单位公章的；</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（2）投标人的授权委托人不能提供有效的授权委托书的；</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（3）逾期上传投标书的；</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（4）招标人认为投标报价严重偏离市场行情的；</w:t>
      </w:r>
    </w:p>
    <w:p>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Times New Roman" w:hAnsi="Times New Roman"/>
          <w:b/>
          <w:bCs/>
          <w:color w:val="FF0000"/>
          <w:sz w:val="24"/>
          <w:szCs w:val="24"/>
          <w:lang w:val="en-US" w:eastAsia="zh-CN"/>
        </w:rPr>
      </w:pPr>
      <w:r>
        <w:rPr>
          <w:rFonts w:ascii="Times New Roman" w:hAnsi="Times New Roman"/>
          <w:sz w:val="24"/>
          <w:szCs w:val="24"/>
        </w:rPr>
        <w:t>（5）</w:t>
      </w:r>
      <w:r>
        <w:rPr>
          <w:rFonts w:ascii="Times New Roman" w:hAnsi="Times New Roman"/>
          <w:b/>
          <w:bCs/>
          <w:color w:val="FF0000"/>
          <w:sz w:val="24"/>
          <w:szCs w:val="24"/>
        </w:rPr>
        <w:t>报价未按要求填报或擅自更改投标文件格式内容的</w:t>
      </w:r>
      <w:r>
        <w:rPr>
          <w:rFonts w:hint="eastAsia" w:ascii="Times New Roman" w:hAnsi="Times New Roman"/>
          <w:b w:val="0"/>
          <w:bCs w:val="0"/>
          <w:color w:val="FF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ascii="Times New Roman" w:hAnsi="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b/>
          <w:bCs/>
          <w:color w:val="FF0000"/>
          <w:sz w:val="24"/>
          <w:szCs w:val="24"/>
          <w:lang w:val="en-US" w:eastAsia="zh-CN"/>
        </w:rPr>
        <w:t>投标单价超过内部限定价格的</w:t>
      </w:r>
      <w:r>
        <w:rPr>
          <w:rFonts w:ascii="Times New Roman" w:hAnsi="Times New Roman"/>
          <w:b/>
          <w:bCs/>
          <w:color w:val="FF0000"/>
          <w:sz w:val="24"/>
          <w:szCs w:val="24"/>
        </w:rPr>
        <w:t>。</w:t>
      </w:r>
    </w:p>
    <w:p>
      <w:pPr>
        <w:keepNext w:val="0"/>
        <w:keepLines w:val="0"/>
        <w:pageBreakBefore w:val="0"/>
        <w:widowControl w:val="0"/>
        <w:kinsoku/>
        <w:wordWrap/>
        <w:overflowPunct/>
        <w:topLinePunct w:val="0"/>
        <w:autoSpaceDE/>
        <w:autoSpaceDN/>
        <w:bidi w:val="0"/>
        <w:adjustRightInd/>
        <w:snapToGrid/>
        <w:spacing w:line="324" w:lineRule="auto"/>
        <w:ind w:left="-28" w:firstLine="482"/>
        <w:jc w:val="left"/>
        <w:textAlignment w:val="auto"/>
        <w:rPr>
          <w:rFonts w:ascii="Times New Roman" w:hAnsi="Times New Roman" w:cs="Times New Roman"/>
          <w:b/>
          <w:bCs/>
        </w:rPr>
      </w:pPr>
      <w:r>
        <w:rPr>
          <w:rFonts w:ascii="Times New Roman" w:hAnsi="Times New Roman" w:cs="Times New Roman"/>
          <w:b/>
          <w:bCs/>
        </w:rPr>
        <w:t>十二、特别提示</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1、</w:t>
      </w:r>
      <w:r>
        <w:rPr>
          <w:rFonts w:hint="eastAsia"/>
        </w:rPr>
        <w:t>块石采购</w:t>
      </w:r>
      <w:r>
        <w:t>拟</w:t>
      </w:r>
      <w:r>
        <w:rPr>
          <w:rFonts w:hint="eastAsia"/>
        </w:rPr>
        <w:t>选择</w:t>
      </w:r>
      <w:r>
        <w:rPr>
          <w:rFonts w:hint="eastAsia" w:ascii="Times New Roman" w:hAnsi="Times New Roman"/>
          <w:sz w:val="24"/>
          <w:szCs w:val="24"/>
        </w:rPr>
        <w:t>1～</w:t>
      </w:r>
      <w:r>
        <w:rPr>
          <w:rFonts w:hint="eastAsia" w:ascii="Times New Roman" w:hAnsi="Times New Roman"/>
          <w:sz w:val="24"/>
          <w:szCs w:val="24"/>
          <w:lang w:val="en-US" w:eastAsia="zh-CN"/>
        </w:rPr>
        <w:t>2</w:t>
      </w:r>
      <w:r>
        <w:rPr>
          <w:rFonts w:hint="eastAsia"/>
        </w:rPr>
        <w:t>家供货单位为中标人</w:t>
      </w:r>
      <w:r>
        <w:t>。</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Times New Roman"/>
          <w:color w:val="0000FF"/>
          <w:sz w:val="24"/>
          <w:szCs w:val="24"/>
          <w:lang w:val="en-US" w:eastAsia="zh-CN"/>
        </w:rPr>
      </w:pPr>
      <w:r>
        <w:t>2、</w:t>
      </w:r>
      <w:r>
        <w:rPr>
          <w:rFonts w:hint="eastAsia" w:ascii="宋体" w:hAnsi="宋体" w:eastAsia="宋体" w:cs="Times New Roman"/>
          <w:color w:val="0000FF"/>
          <w:sz w:val="24"/>
          <w:szCs w:val="24"/>
          <w:lang w:val="en-US" w:eastAsia="zh-CN"/>
        </w:rPr>
        <w:t>若</w:t>
      </w:r>
      <w:r>
        <w:rPr>
          <w:rFonts w:hint="default" w:ascii="Times New Roman" w:hAnsi="Times New Roman" w:eastAsia="宋体" w:cs="Times New Roman"/>
          <w:color w:val="0000FF"/>
          <w:sz w:val="24"/>
          <w:szCs w:val="24"/>
          <w:lang w:val="en-US" w:eastAsia="zh-CN"/>
        </w:rPr>
        <w:t>2家</w:t>
      </w:r>
      <w:r>
        <w:rPr>
          <w:rFonts w:hint="eastAsia" w:ascii="宋体" w:hAnsi="宋体" w:eastAsia="宋体" w:cs="Times New Roman"/>
          <w:color w:val="0000FF"/>
          <w:sz w:val="24"/>
          <w:szCs w:val="24"/>
          <w:lang w:val="en-US" w:eastAsia="zh-CN"/>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3、开标后未获得中标通知者，视为未中标，招标单位和未中标单位均不需向对方承担任何民事责任</w:t>
      </w:r>
      <w:r>
        <w:rPr>
          <w:rFonts w:hint="eastAsia"/>
        </w:rPr>
        <w:t>。</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t>4、中标单位在接到中标通知后</w:t>
      </w:r>
      <w:r>
        <w:rPr>
          <w:rFonts w:hint="eastAsia"/>
        </w:rPr>
        <w:t>5</w:t>
      </w:r>
      <w:r>
        <w:t>个工作日内，</w:t>
      </w:r>
      <w:r>
        <w:rPr>
          <w:rFonts w:hint="eastAsia"/>
        </w:rPr>
        <w:t>提供履约保证金后</w:t>
      </w:r>
      <w:r>
        <w:rPr>
          <w:rFonts w:hint="eastAsia"/>
          <w:b/>
          <w:bCs/>
        </w:rPr>
        <w:t>（履约保证金为中标价的5%）</w:t>
      </w:r>
      <w:r>
        <w:t>到</w:t>
      </w:r>
      <w:bookmarkStart w:id="5" w:name="_Hlk82700346"/>
      <w:r>
        <w:rPr>
          <w:rFonts w:hint="eastAsia"/>
          <w:b/>
          <w:bCs/>
        </w:rPr>
        <w:t>江苏省水利建设工程有限公司</w:t>
      </w:r>
      <w:r>
        <w:rPr>
          <w:rFonts w:hint="eastAsia" w:ascii="Times New Roman" w:hAnsi="Times New Roman" w:cs="Times New Roman"/>
          <w:b/>
          <w:bCs/>
          <w:lang w:val="en-US" w:eastAsia="zh-Hans"/>
        </w:rPr>
        <w:t>淮河入海水道二期工程盐城市境内河道工程施工17标</w:t>
      </w:r>
      <w:r>
        <w:rPr>
          <w:rFonts w:hint="eastAsia"/>
          <w:b/>
          <w:bCs/>
        </w:rPr>
        <w:t>项目经理部</w:t>
      </w:r>
      <w:r>
        <w:t>签订合同</w:t>
      </w:r>
      <w:bookmarkEnd w:id="5"/>
      <w: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rPr>
      </w:pPr>
      <w:r>
        <w:rPr>
          <w:rFonts w:hint="eastAsia"/>
          <w:lang w:val="en-US" w:eastAsia="zh-CN"/>
        </w:rPr>
        <w:t>5、</w:t>
      </w:r>
      <w:r>
        <w:t>本次招投标遵循投标单位自愿参与原则。一经参加投标，即视为投标单位完全同意招标条件、评标办法等招标文件的内容。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snapToGrid/>
        <w:spacing w:line="324" w:lineRule="auto"/>
        <w:ind w:left="-28" w:firstLine="482"/>
        <w:jc w:val="left"/>
        <w:textAlignment w:val="auto"/>
        <w:rPr>
          <w:rFonts w:ascii="Times New Roman" w:hAnsi="Times New Roman" w:cs="Times New Roman"/>
          <w:b/>
          <w:bCs/>
        </w:rPr>
      </w:pPr>
      <w:r>
        <w:rPr>
          <w:rFonts w:ascii="Times New Roman" w:hAnsi="Times New Roman" w:cs="Times New Roman"/>
          <w:b/>
          <w:bCs/>
        </w:rPr>
        <w:t>十三、其他</w:t>
      </w:r>
    </w:p>
    <w:p>
      <w:pPr>
        <w:keepNext w:val="0"/>
        <w:keepLines w:val="0"/>
        <w:pageBreakBefore w:val="0"/>
        <w:widowControl w:val="0"/>
        <w:kinsoku/>
        <w:wordWrap/>
        <w:overflowPunct/>
        <w:topLinePunct w:val="0"/>
        <w:autoSpaceDE/>
        <w:autoSpaceDN/>
        <w:bidi w:val="0"/>
        <w:adjustRightInd/>
        <w:snapToGrid/>
        <w:spacing w:line="324" w:lineRule="auto"/>
        <w:textAlignment w:val="auto"/>
        <w:rPr>
          <w:b/>
          <w:sz w:val="18"/>
          <w:szCs w:val="18"/>
        </w:rPr>
      </w:pPr>
      <w:r>
        <w:t>1、招标文件作为</w:t>
      </w:r>
      <w:r>
        <w:rPr>
          <w:rFonts w:hint="eastAsia"/>
        </w:rPr>
        <w:t>块石</w:t>
      </w:r>
      <w:r>
        <w:t>采购合同的组成部分。</w:t>
      </w:r>
      <w:r>
        <w:rPr>
          <w:b/>
          <w:sz w:val="18"/>
          <w:szCs w:val="18"/>
        </w:rPr>
        <w:br w:type="page"/>
      </w:r>
    </w:p>
    <w:p>
      <w:pPr>
        <w:ind w:firstLine="361"/>
        <w:rPr>
          <w:rFonts w:hint="eastAsia"/>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pPr>
        <w:pStyle w:val="10"/>
        <w:ind w:firstLine="361"/>
        <w:rPr>
          <w:rFonts w:ascii="Times New Roman" w:hAnsi="Times New Roman"/>
          <w:b/>
          <w:sz w:val="18"/>
          <w:szCs w:val="18"/>
        </w:rPr>
      </w:pPr>
      <w:r>
        <w:rPr>
          <w:rFonts w:ascii="Times New Roman" w:hAnsi="Times New Roman"/>
          <w:b/>
          <w:sz w:val="18"/>
          <w:szCs w:val="18"/>
        </w:rPr>
        <w:t>附件1（封面格式）</w:t>
      </w:r>
    </w:p>
    <w:p>
      <w:pPr>
        <w:spacing w:line="360" w:lineRule="exact"/>
        <w:ind w:firstLine="361"/>
        <w:jc w:val="center"/>
        <w:rPr>
          <w:rFonts w:hint="eastAsia"/>
          <w:b/>
          <w:sz w:val="18"/>
          <w:szCs w:val="18"/>
        </w:rPr>
      </w:pPr>
    </w:p>
    <w:p>
      <w:pPr>
        <w:spacing w:line="520" w:lineRule="exact"/>
        <w:ind w:firstLine="482"/>
        <w:jc w:val="center"/>
        <w:rPr>
          <w:rFonts w:hint="eastAsia"/>
          <w:b/>
          <w:sz w:val="30"/>
          <w:szCs w:val="30"/>
          <w:u w:val="single"/>
        </w:rPr>
      </w:pPr>
      <w:r>
        <w:rPr>
          <w:rFonts w:hint="eastAsia"/>
          <w:b/>
          <w:sz w:val="30"/>
          <w:szCs w:val="30"/>
          <w:u w:val="single"/>
          <w:lang w:val="en-US" w:eastAsia="zh-Hans"/>
        </w:rPr>
        <w:t>淮河入海水道二期工程盐城市境内河道工程施工17标</w:t>
      </w:r>
      <w:r>
        <w:rPr>
          <w:rFonts w:hint="eastAsia"/>
          <w:b/>
          <w:sz w:val="30"/>
          <w:szCs w:val="30"/>
          <w:u w:val="single"/>
        </w:rPr>
        <w:t>项目经理部</w:t>
      </w:r>
    </w:p>
    <w:p>
      <w:pPr>
        <w:pStyle w:val="10"/>
        <w:spacing w:line="360" w:lineRule="auto"/>
        <w:ind w:firstLine="0" w:firstLineChars="0"/>
        <w:jc w:val="center"/>
        <w:rPr>
          <w:rFonts w:ascii="Times New Roman" w:hAnsi="Times New Roman" w:eastAsia="黑体" w:cs="Times New Roman"/>
          <w:b/>
          <w:sz w:val="36"/>
          <w:szCs w:val="36"/>
        </w:rPr>
      </w:pPr>
    </w:p>
    <w:p>
      <w:pPr>
        <w:pStyle w:val="10"/>
        <w:spacing w:line="360" w:lineRule="auto"/>
        <w:ind w:firstLine="0" w:firstLineChars="0"/>
        <w:jc w:val="center"/>
        <w:rPr>
          <w:rFonts w:ascii="Times New Roman" w:hAnsi="Times New Roman" w:eastAsia="黑体" w:cs="Times New Roman"/>
          <w:b/>
          <w:sz w:val="36"/>
          <w:szCs w:val="36"/>
        </w:rPr>
      </w:pPr>
    </w:p>
    <w:p>
      <w:pPr>
        <w:pStyle w:val="10"/>
        <w:spacing w:line="360" w:lineRule="auto"/>
        <w:ind w:firstLine="0" w:firstLineChars="0"/>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rPr>
        <w:t>块石采购投标文件</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rPr>
          <w:rFonts w:ascii="Times New Roman" w:hAnsi="Times New Roman"/>
          <w:szCs w:val="24"/>
        </w:rPr>
      </w:pPr>
    </w:p>
    <w:p>
      <w:pPr>
        <w:pStyle w:val="10"/>
        <w:spacing w:line="360" w:lineRule="exact"/>
        <w:ind w:firstLine="960" w:firstLineChars="400"/>
        <w:rPr>
          <w:rFonts w:ascii="Times New Roman" w:hAnsi="Times New Roman"/>
          <w:szCs w:val="24"/>
        </w:rPr>
      </w:pPr>
      <w:r>
        <w:rPr>
          <w:rFonts w:ascii="Times New Roman" w:hAnsi="Times New Roman"/>
          <w:szCs w:val="24"/>
        </w:rPr>
        <w:t>投标单位名称（盖章）</w:t>
      </w:r>
    </w:p>
    <w:p>
      <w:pPr>
        <w:pStyle w:val="10"/>
        <w:spacing w:line="360" w:lineRule="exact"/>
        <w:rPr>
          <w:rFonts w:ascii="Times New Roman" w:hAnsi="Times New Roman"/>
          <w:szCs w:val="24"/>
        </w:rPr>
      </w:pPr>
    </w:p>
    <w:p>
      <w:pPr>
        <w:pStyle w:val="10"/>
        <w:spacing w:line="360" w:lineRule="exact"/>
        <w:rPr>
          <w:rFonts w:ascii="Times New Roman" w:hAnsi="Times New Roman"/>
          <w:szCs w:val="24"/>
        </w:rPr>
      </w:pPr>
    </w:p>
    <w:p>
      <w:pPr>
        <w:pStyle w:val="10"/>
        <w:spacing w:line="360" w:lineRule="exact"/>
        <w:ind w:firstLine="960" w:firstLineChars="400"/>
        <w:rPr>
          <w:rFonts w:ascii="Times New Roman" w:hAnsi="Times New Roman"/>
          <w:szCs w:val="24"/>
        </w:rPr>
      </w:pPr>
      <w:r>
        <w:rPr>
          <w:rFonts w:ascii="Times New Roman" w:hAnsi="Times New Roman"/>
          <w:szCs w:val="24"/>
        </w:rPr>
        <w:t xml:space="preserve">法定代表人（签章）  </w:t>
      </w:r>
    </w:p>
    <w:p>
      <w:pPr>
        <w:pStyle w:val="10"/>
        <w:rPr>
          <w:rFonts w:ascii="Times New Roman" w:hAnsi="Times New Roman"/>
          <w:szCs w:val="24"/>
        </w:rPr>
      </w:pPr>
    </w:p>
    <w:p>
      <w:pPr>
        <w:pStyle w:val="10"/>
        <w:ind w:firstLine="960" w:firstLineChars="400"/>
        <w:rPr>
          <w:rFonts w:ascii="Times New Roman" w:hAnsi="Times New Roman"/>
          <w:szCs w:val="24"/>
        </w:rPr>
      </w:pPr>
    </w:p>
    <w:p>
      <w:pPr>
        <w:pStyle w:val="10"/>
        <w:ind w:firstLine="960" w:firstLineChars="400"/>
        <w:rPr>
          <w:rFonts w:ascii="Times New Roman" w:hAnsi="Times New Roman"/>
          <w:szCs w:val="24"/>
        </w:rPr>
      </w:pPr>
      <w:r>
        <w:rPr>
          <w:rFonts w:ascii="Times New Roman" w:hAnsi="Times New Roman"/>
          <w:szCs w:val="24"/>
        </w:rPr>
        <w:t>日期：</w:t>
      </w:r>
    </w:p>
    <w:p>
      <w:pPr>
        <w:pStyle w:val="10"/>
      </w:pPr>
    </w:p>
    <w:p>
      <w:pPr>
        <w:ind w:firstLine="400"/>
        <w:rPr>
          <w:rFonts w:hint="eastAsia"/>
          <w:sz w:val="20"/>
          <w:szCs w:val="20"/>
        </w:rPr>
      </w:pPr>
      <w:r>
        <w:rPr>
          <w:sz w:val="20"/>
          <w:szCs w:val="20"/>
        </w:rPr>
        <w:br w:type="page"/>
      </w:r>
    </w:p>
    <w:p>
      <w:pPr>
        <w:spacing w:line="240" w:lineRule="auto"/>
        <w:ind w:firstLine="0" w:firstLineChars="0"/>
        <w:rPr>
          <w:rFonts w:ascii="Times New Roman" w:hAnsi="Times New Roman" w:cs="Times New Roman"/>
          <w:b/>
          <w:bCs/>
          <w:sz w:val="18"/>
          <w:szCs w:val="18"/>
        </w:rPr>
      </w:pPr>
      <w:r>
        <w:rPr>
          <w:rFonts w:ascii="Times New Roman" w:hAnsi="Times New Roman" w:cs="Times New Roman"/>
          <w:b/>
          <w:bCs/>
          <w:sz w:val="18"/>
          <w:szCs w:val="18"/>
        </w:rPr>
        <w:t>附件2</w:t>
      </w:r>
    </w:p>
    <w:p>
      <w:pPr>
        <w:ind w:firstLine="0" w:firstLineChars="0"/>
        <w:jc w:val="center"/>
        <w:rPr>
          <w:rFonts w:hint="eastAsia"/>
          <w:b/>
          <w:bCs/>
          <w:sz w:val="32"/>
          <w:szCs w:val="32"/>
        </w:rPr>
      </w:pPr>
      <w:r>
        <w:rPr>
          <w:b/>
          <w:bCs/>
          <w:sz w:val="32"/>
          <w:szCs w:val="32"/>
        </w:rPr>
        <w:t>投 标 函</w:t>
      </w:r>
    </w:p>
    <w:p>
      <w:pPr>
        <w:pStyle w:val="10"/>
        <w:spacing w:line="360" w:lineRule="auto"/>
        <w:rPr>
          <w:szCs w:val="24"/>
        </w:rPr>
      </w:pPr>
    </w:p>
    <w:p>
      <w:pPr>
        <w:spacing w:line="360" w:lineRule="auto"/>
        <w:ind w:firstLine="0" w:firstLineChars="0"/>
        <w:rPr>
          <w:rFonts w:hint="eastAsia"/>
        </w:rPr>
      </w:pPr>
      <w:r>
        <w:t>江苏省水利建设工程有限公司：</w:t>
      </w:r>
    </w:p>
    <w:p>
      <w:pPr>
        <w:spacing w:line="360" w:lineRule="auto"/>
        <w:rPr>
          <w:rFonts w:hint="eastAsia"/>
        </w:rPr>
      </w:pPr>
      <w:r>
        <w:t>根据</w:t>
      </w:r>
      <w:r>
        <w:rPr>
          <w:rFonts w:hint="eastAsia"/>
          <w:lang w:val="en-US" w:eastAsia="zh-CN"/>
        </w:rPr>
        <w:t>研读</w:t>
      </w:r>
      <w:r>
        <w:t>贵公司的</w:t>
      </w:r>
      <w:r>
        <w:rPr>
          <w:rFonts w:hint="eastAsia"/>
          <w:b/>
          <w:bCs/>
          <w:u w:val="single"/>
          <w:lang w:val="en-US" w:eastAsia="zh-Hans"/>
        </w:rPr>
        <w:t>淮河入海水道二期工程盐城市境内河道工程施工17标</w:t>
      </w:r>
      <w:r>
        <w:rPr>
          <w:rFonts w:hint="eastAsia"/>
          <w:b/>
          <w:bCs/>
          <w:u w:val="single"/>
        </w:rPr>
        <w:t>项目经理部块石采购</w:t>
      </w:r>
      <w:r>
        <w:t>招标文件，我方（投标人）完全接受招标文件的要求和买卖合同的全部条款。并致函如下：</w:t>
      </w:r>
    </w:p>
    <w:p>
      <w:pPr>
        <w:spacing w:line="360" w:lineRule="auto"/>
        <w:rPr>
          <w:rFonts w:hint="eastAsia"/>
        </w:rPr>
      </w:pPr>
      <w:r>
        <w:t>1</w:t>
      </w:r>
      <w:r>
        <w:rPr>
          <w:rFonts w:hint="eastAsia"/>
        </w:rPr>
        <w:t>、</w:t>
      </w:r>
      <w:r>
        <w:t>愿意按照招标文件的一切要求，提供标书所列产品，明细见《</w:t>
      </w:r>
      <w:r>
        <w:rPr>
          <w:rFonts w:hint="eastAsia"/>
        </w:rPr>
        <w:t>投标</w:t>
      </w:r>
      <w:r>
        <w:t>报价单》。</w:t>
      </w:r>
    </w:p>
    <w:p>
      <w:pPr>
        <w:spacing w:line="360" w:lineRule="auto"/>
        <w:rPr>
          <w:rFonts w:hint="eastAsia"/>
        </w:rPr>
      </w:pPr>
      <w:r>
        <w:t>2</w:t>
      </w:r>
      <w:r>
        <w:rPr>
          <w:rFonts w:hint="eastAsia"/>
        </w:rPr>
        <w:t>、</w:t>
      </w:r>
      <w:r>
        <w:t>如果我方中标签约，我们将严格履行招标文件中规定的每一项要求，严格履行合同义务；如果由于我方自身失误形成的风险</w:t>
      </w:r>
      <w:r>
        <w:rPr>
          <w:rFonts w:hint="eastAsia"/>
          <w:lang w:val="en-US" w:eastAsia="zh-CN"/>
        </w:rPr>
        <w:t>和损失</w:t>
      </w:r>
      <w:r>
        <w:t>均由我方承担。</w:t>
      </w:r>
    </w:p>
    <w:p>
      <w:pPr>
        <w:spacing w:line="360" w:lineRule="auto"/>
        <w:rPr>
          <w:rFonts w:hint="eastAsia"/>
        </w:rPr>
      </w:pPr>
      <w:r>
        <w:t>3</w:t>
      </w:r>
      <w:r>
        <w:rPr>
          <w:rFonts w:hint="eastAsia"/>
        </w:rPr>
        <w:t>、</w:t>
      </w:r>
      <w:r>
        <w:t>我方再次重申：完全同意投标须知中关于</w:t>
      </w:r>
      <w:r>
        <w:rPr>
          <w:rFonts w:hint="eastAsia"/>
        </w:rPr>
        <w:t>“</w:t>
      </w:r>
      <w:r>
        <w:t>评标方式、标准、方法及特别提示</w:t>
      </w:r>
      <w:r>
        <w:rPr>
          <w:rFonts w:hint="eastAsia"/>
        </w:rPr>
        <w:t>”</w:t>
      </w:r>
      <w:r>
        <w:t>等陈述，我方认为贵公司有权单方决定中标者，还认为价格和质量、信誉和服务是中标的重要选择标准；无论贵公司是否选择我方作为中标单位，我方均尊重和认可贵公司的决定。</w:t>
      </w:r>
    </w:p>
    <w:p>
      <w:pPr>
        <w:spacing w:line="360" w:lineRule="auto"/>
        <w:rPr>
          <w:rFonts w:hint="eastAsia"/>
        </w:rPr>
      </w:pPr>
      <w:r>
        <w:t>4</w:t>
      </w:r>
      <w:r>
        <w:rPr>
          <w:rFonts w:hint="eastAsia"/>
        </w:rPr>
        <w:t>、</w:t>
      </w:r>
      <w:r>
        <w:t>我方投标文件（包括对招标文件承诺的内容、不同意见的偏离说明）在开标后的全过程中保持有效，不作任何更改和变动。</w:t>
      </w:r>
    </w:p>
    <w:p>
      <w:pPr>
        <w:spacing w:line="360" w:lineRule="auto"/>
        <w:rPr>
          <w:rFonts w:hint="eastAsia"/>
        </w:rPr>
      </w:pPr>
      <w:r>
        <w:t>5</w:t>
      </w:r>
      <w:r>
        <w:rPr>
          <w:rFonts w:hint="eastAsia"/>
        </w:rPr>
        <w:t>、</w:t>
      </w:r>
      <w:r>
        <w:t>投标文件中所有关于投标资格的文件、证明、陈述均是真实的、准确的。若有违背，我单位愿意承担由此产生的一切后果。如最终确定我方供货，我方愿意按合同条款签约。</w:t>
      </w:r>
    </w:p>
    <w:p>
      <w:pPr>
        <w:spacing w:line="360" w:lineRule="auto"/>
        <w:rPr>
          <w:rFonts w:hint="eastAsia"/>
        </w:rPr>
      </w:pPr>
      <w:r>
        <w:t>6</w:t>
      </w:r>
      <w:r>
        <w:rPr>
          <w:rFonts w:hint="eastAsia"/>
        </w:rPr>
        <w:t>、</w:t>
      </w:r>
      <w:r>
        <w:t>所有有关招投标的函电，请按下列地址联系：</w:t>
      </w:r>
    </w:p>
    <w:p>
      <w:pPr>
        <w:spacing w:line="360" w:lineRule="auto"/>
        <w:rPr>
          <w:rFonts w:hint="eastAsia"/>
        </w:rPr>
      </w:pP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pPr>
        <w:spacing w:line="360" w:lineRule="auto"/>
        <w:ind w:firstLine="6360" w:firstLineChars="2650"/>
        <w:rPr>
          <w:rFonts w:ascii="宋体" w:hAnsi="宋体"/>
          <w:sz w:val="24"/>
          <w:szCs w:val="24"/>
        </w:rPr>
      </w:pPr>
    </w:p>
    <w:p>
      <w:pP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pPr>
        <w:rPr>
          <w:rFonts w:ascii="Times New Roman" w:hAnsi="Times New Roman" w:cs="Times New Roman"/>
          <w:b/>
          <w:bCs/>
          <w:sz w:val="18"/>
          <w:szCs w:val="18"/>
        </w:rPr>
      </w:pPr>
      <w:r>
        <w:rPr>
          <w:rFonts w:ascii="Times New Roman" w:hAnsi="Times New Roman" w:cs="Times New Roman"/>
          <w:b/>
          <w:bCs/>
          <w:sz w:val="18"/>
          <w:szCs w:val="18"/>
        </w:rPr>
        <w:br w:type="page"/>
      </w:r>
    </w:p>
    <w:p>
      <w:pPr>
        <w:spacing w:line="240" w:lineRule="auto"/>
        <w:ind w:firstLine="0" w:firstLineChars="0"/>
        <w:rPr>
          <w:rFonts w:ascii="Times New Roman" w:hAnsi="Times New Roman" w:cs="Times New Roman"/>
          <w:b/>
          <w:bCs/>
          <w:sz w:val="18"/>
          <w:szCs w:val="18"/>
        </w:rPr>
      </w:pPr>
      <w:r>
        <w:rPr>
          <w:rFonts w:ascii="Times New Roman" w:hAnsi="Times New Roman" w:cs="Times New Roman"/>
          <w:b/>
          <w:bCs/>
          <w:sz w:val="18"/>
          <w:szCs w:val="18"/>
        </w:rPr>
        <w:t>附件3：</w:t>
      </w:r>
    </w:p>
    <w:p>
      <w:pPr>
        <w:keepNext w:val="0"/>
        <w:keepLines w:val="0"/>
        <w:pageBreakBefore w:val="0"/>
        <w:widowControl w:val="0"/>
        <w:kinsoku/>
        <w:wordWrap/>
        <w:overflowPunct/>
        <w:topLinePunct w:val="0"/>
        <w:autoSpaceDE/>
        <w:autoSpaceDN/>
        <w:bidi w:val="0"/>
        <w:adjustRightInd/>
        <w:snapToGrid/>
        <w:spacing w:line="240" w:lineRule="auto"/>
        <w:ind w:firstLine="643"/>
        <w:jc w:val="center"/>
        <w:textAlignment w:val="auto"/>
        <w:rPr>
          <w:rFonts w:hint="eastAsia"/>
          <w:b/>
          <w:bCs/>
          <w:sz w:val="30"/>
          <w:szCs w:val="30"/>
        </w:rPr>
      </w:pPr>
      <w:r>
        <w:rPr>
          <w:b/>
          <w:bCs/>
          <w:sz w:val="30"/>
          <w:szCs w:val="30"/>
        </w:rPr>
        <w:t>投标报价</w:t>
      </w:r>
      <w:r>
        <w:rPr>
          <w:rFonts w:hint="eastAsia"/>
          <w:b/>
          <w:bCs/>
          <w:sz w:val="30"/>
          <w:szCs w:val="30"/>
        </w:rPr>
        <w:t>单</w:t>
      </w:r>
    </w:p>
    <w:p>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rPr>
      </w:pPr>
      <w:r>
        <w:rPr>
          <w:rFonts w:hint="eastAsia"/>
        </w:rPr>
        <w:t>江苏省水利建设工程有限公司：</w:t>
      </w:r>
    </w:p>
    <w:p>
      <w:pPr>
        <w:pStyle w:val="2"/>
        <w:keepNext w:val="0"/>
        <w:keepLines w:val="0"/>
        <w:pageBreakBefore w:val="0"/>
        <w:widowControl w:val="0"/>
        <w:kinsoku/>
        <w:wordWrap/>
        <w:overflowPunct/>
        <w:topLinePunct w:val="0"/>
        <w:autoSpaceDE/>
        <w:autoSpaceDN/>
        <w:bidi w:val="0"/>
        <w:adjustRightInd/>
        <w:snapToGrid/>
        <w:spacing w:before="0" w:line="264" w:lineRule="auto"/>
        <w:textAlignment w:val="auto"/>
        <w:rPr>
          <w:lang w:eastAsia="zh-Hans"/>
        </w:rPr>
      </w:pPr>
      <w:r>
        <w:rPr>
          <w:rFonts w:hint="eastAsia"/>
          <w:lang w:eastAsia="zh-Hans"/>
        </w:rPr>
        <w:t>我单位拟向贵公司供应</w:t>
      </w:r>
      <w:r>
        <w:rPr>
          <w:rFonts w:hint="eastAsia" w:ascii="Times New Roman" w:hAnsi="Times New Roman" w:cs="Times New Roman"/>
          <w:lang w:val="en-US" w:eastAsia="zh-Hans"/>
        </w:rPr>
        <w:t>淮河入海水道二期工程盐城市境内河道工程施工17标</w:t>
      </w:r>
      <w:r>
        <w:rPr>
          <w:rFonts w:ascii="Times New Roman" w:hAnsi="Times New Roman" w:cs="Times New Roman"/>
        </w:rPr>
        <w:t>（桩号</w:t>
      </w:r>
      <w:r>
        <w:rPr>
          <w:rFonts w:hint="eastAsia" w:ascii="Times New Roman" w:hAnsi="Times New Roman" w:cs="Times New Roman"/>
          <w:lang w:val="en-US" w:eastAsia="zh-CN"/>
        </w:rPr>
        <w:t>146+5</w:t>
      </w:r>
      <w:r>
        <w:rPr>
          <w:rFonts w:ascii="Times New Roman" w:hAnsi="Times New Roman" w:cs="Times New Roman"/>
        </w:rPr>
        <w:t>00～1</w:t>
      </w:r>
      <w:r>
        <w:rPr>
          <w:rFonts w:hint="eastAsia" w:ascii="Times New Roman" w:hAnsi="Times New Roman" w:cs="Times New Roman"/>
          <w:lang w:val="en-US" w:eastAsia="zh-CN"/>
        </w:rPr>
        <w:t>50</w:t>
      </w:r>
      <w:r>
        <w:rPr>
          <w:rFonts w:ascii="Times New Roman" w:hAnsi="Times New Roman" w:cs="Times New Roman"/>
        </w:rPr>
        <w:t>+000）</w:t>
      </w:r>
      <w:r>
        <w:rPr>
          <w:rFonts w:hint="eastAsia"/>
          <w:lang w:eastAsia="zh-Hans"/>
        </w:rPr>
        <w:t>所用的块石，我公司所供块石具体规格、数量和报价如下：</w:t>
      </w:r>
    </w:p>
    <w:tbl>
      <w:tblPr>
        <w:tblStyle w:val="14"/>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46"/>
        <w:gridCol w:w="1023"/>
        <w:gridCol w:w="1413"/>
        <w:gridCol w:w="783"/>
        <w:gridCol w:w="925"/>
        <w:gridCol w:w="1137"/>
        <w:gridCol w:w="773"/>
        <w:gridCol w:w="104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1046" w:type="dxa"/>
            <w:vMerge w:val="restart"/>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品名</w:t>
            </w:r>
          </w:p>
        </w:tc>
        <w:tc>
          <w:tcPr>
            <w:tcW w:w="1023" w:type="dxa"/>
            <w:vMerge w:val="restart"/>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规格(mm)</w:t>
            </w:r>
          </w:p>
        </w:tc>
        <w:tc>
          <w:tcPr>
            <w:tcW w:w="1413" w:type="dxa"/>
            <w:vMerge w:val="restart"/>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产地</w:t>
            </w:r>
          </w:p>
        </w:tc>
        <w:tc>
          <w:tcPr>
            <w:tcW w:w="783" w:type="dxa"/>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color w:val="auto"/>
              </w:rPr>
              <w:t>暂定</w:t>
            </w:r>
          </w:p>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color w:val="auto"/>
              </w:rPr>
              <w:t>数量</w:t>
            </w:r>
            <w:r>
              <w:rPr>
                <w:rFonts w:hint="eastAsia"/>
                <w:color w:val="auto"/>
              </w:rPr>
              <w:t>(</w:t>
            </w:r>
            <w:r>
              <w:rPr>
                <w:color w:val="auto"/>
              </w:rPr>
              <w:t>t</w:t>
            </w:r>
            <w:r>
              <w:rPr>
                <w:rFonts w:hint="eastAsia"/>
                <w:color w:val="auto"/>
              </w:rPr>
              <w:t>)</w:t>
            </w:r>
          </w:p>
        </w:tc>
        <w:tc>
          <w:tcPr>
            <w:tcW w:w="925" w:type="dxa"/>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不含税单价(</w:t>
            </w:r>
            <w:r>
              <w:rPr>
                <w:color w:val="auto"/>
              </w:rPr>
              <w:t>元/吨</w:t>
            </w:r>
            <w:r>
              <w:rPr>
                <w:rFonts w:hint="eastAsia"/>
                <w:color w:val="auto"/>
              </w:rPr>
              <w:t>)</w:t>
            </w:r>
          </w:p>
        </w:tc>
        <w:tc>
          <w:tcPr>
            <w:tcW w:w="1137" w:type="dxa"/>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不含税</w:t>
            </w:r>
            <w:r>
              <w:rPr>
                <w:color w:val="auto"/>
              </w:rPr>
              <w:t>合价</w:t>
            </w:r>
            <w:r>
              <w:rPr>
                <w:rFonts w:hint="eastAsia"/>
                <w:color w:val="auto"/>
              </w:rPr>
              <w:t>(</w:t>
            </w:r>
            <w:r>
              <w:rPr>
                <w:color w:val="auto"/>
              </w:rPr>
              <w:t>元</w:t>
            </w:r>
            <w:r>
              <w:rPr>
                <w:rFonts w:hint="eastAsia"/>
                <w:color w:val="auto"/>
              </w:rPr>
              <w:t>)</w:t>
            </w:r>
          </w:p>
        </w:tc>
        <w:tc>
          <w:tcPr>
            <w:tcW w:w="773" w:type="dxa"/>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增值税</w:t>
            </w:r>
          </w:p>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税率</w:t>
            </w:r>
          </w:p>
        </w:tc>
        <w:tc>
          <w:tcPr>
            <w:tcW w:w="1042"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税额</w:t>
            </w:r>
          </w:p>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w:t>
            </w:r>
            <w:r>
              <w:rPr>
                <w:color w:val="auto"/>
              </w:rPr>
              <w:t>元</w:t>
            </w:r>
            <w:r>
              <w:rPr>
                <w:rFonts w:hint="eastAsia"/>
                <w:color w:val="auto"/>
              </w:rPr>
              <w:t>)</w:t>
            </w:r>
          </w:p>
        </w:tc>
        <w:tc>
          <w:tcPr>
            <w:tcW w:w="1185" w:type="dxa"/>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价税合计(</w:t>
            </w:r>
            <w:r>
              <w:rPr>
                <w:color w:val="auto"/>
              </w:rPr>
              <w:t>元</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40" w:hRule="atLeast"/>
          <w:jc w:val="center"/>
        </w:trPr>
        <w:tc>
          <w:tcPr>
            <w:tcW w:w="1046" w:type="dxa"/>
            <w:vMerge w:val="continue"/>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1023" w:type="dxa"/>
            <w:vMerge w:val="continue"/>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1413" w:type="dxa"/>
            <w:vMerge w:val="continue"/>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78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A</w:t>
            </w:r>
          </w:p>
        </w:tc>
        <w:tc>
          <w:tcPr>
            <w:tcW w:w="925"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B</w:t>
            </w:r>
          </w:p>
        </w:tc>
        <w:tc>
          <w:tcPr>
            <w:tcW w:w="1137"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C=A×B</w:t>
            </w:r>
          </w:p>
        </w:tc>
        <w:tc>
          <w:tcPr>
            <w:tcW w:w="77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D</w:t>
            </w:r>
          </w:p>
        </w:tc>
        <w:tc>
          <w:tcPr>
            <w:tcW w:w="1042"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E=C×D</w:t>
            </w:r>
          </w:p>
        </w:tc>
        <w:tc>
          <w:tcPr>
            <w:tcW w:w="1185"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F=C+E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046"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块石</w:t>
            </w:r>
          </w:p>
        </w:tc>
        <w:tc>
          <w:tcPr>
            <w:tcW w:w="102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1</w:t>
            </w:r>
            <w:r>
              <w:rPr>
                <w:rFonts w:hint="eastAsia"/>
                <w:color w:val="auto"/>
                <w:lang w:val="en-US" w:eastAsia="zh-CN"/>
              </w:rPr>
              <w:t>5</w:t>
            </w:r>
            <w:r>
              <w:rPr>
                <w:color w:val="auto"/>
              </w:rPr>
              <w:t>0～</w:t>
            </w:r>
            <w:r>
              <w:rPr>
                <w:rFonts w:hint="eastAsia"/>
                <w:color w:val="auto"/>
                <w:lang w:val="en-US" w:eastAsia="zh-CN"/>
              </w:rPr>
              <w:t>4</w:t>
            </w:r>
            <w:r>
              <w:rPr>
                <w:color w:val="auto"/>
              </w:rPr>
              <w:t>00</w:t>
            </w:r>
          </w:p>
        </w:tc>
        <w:tc>
          <w:tcPr>
            <w:tcW w:w="141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78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rFonts w:hint="default" w:eastAsia="宋体"/>
                <w:color w:val="auto"/>
                <w:lang w:val="en-US" w:eastAsia="zh-CN"/>
              </w:rPr>
            </w:pPr>
            <w:r>
              <w:rPr>
                <w:rFonts w:hint="eastAsia"/>
                <w:color w:val="auto"/>
                <w:lang w:val="en-US" w:eastAsia="zh-CN"/>
              </w:rPr>
              <w:t>80000</w:t>
            </w:r>
          </w:p>
        </w:tc>
        <w:tc>
          <w:tcPr>
            <w:tcW w:w="925"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1137"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77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1042"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1185"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r>
    </w:tbl>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szCs w:val="21"/>
          <w:lang w:eastAsia="zh-Hans"/>
        </w:rPr>
      </w:pPr>
      <w:r>
        <w:rPr>
          <w:rFonts w:ascii="Times New Roman" w:hAnsi="Times New Roman" w:cs="Times New Roman"/>
        </w:rPr>
        <w:t>1</w:t>
      </w:r>
      <w:r>
        <w:rPr>
          <w:rFonts w:ascii="Times New Roman" w:hAnsi="Times New Roman" w:cs="Times New Roman"/>
          <w:lang w:eastAsia="zh-Hans"/>
        </w:rPr>
        <w:t>、</w:t>
      </w:r>
      <w:r>
        <w:rPr>
          <w:rFonts w:ascii="Times New Roman" w:hAnsi="Times New Roman" w:cs="Times New Roman"/>
        </w:rPr>
        <w:t>投标价格为我方送货到贵公司工地指定地点并配合卸货后的价格，报价中均包含但不限于货款、运输及转驳费、停滞待卸货时间、利润、税费等一切费用，并包含货物装车（船）、运输及转驳、配合（指定）卸货等全过程中的安全、保险、措施等费用以及如发生安全事故导致的损失和赔偿费用，</w:t>
      </w:r>
      <w:r>
        <w:rPr>
          <w:rFonts w:ascii="Times New Roman" w:hAnsi="Times New Roman" w:cs="Times New Roman" w:eastAsiaTheme="minorEastAsia"/>
          <w:lang w:eastAsia="zh-Hans"/>
        </w:rPr>
        <w:t>提供税率为</w:t>
      </w:r>
      <w:r>
        <w:rPr>
          <w:rFonts w:ascii="Times New Roman" w:hAnsi="Times New Roman" w:cs="Times New Roman" w:eastAsiaTheme="minorEastAsia"/>
          <w:u w:val="single"/>
        </w:rPr>
        <w:t xml:space="preserve"> </w:t>
      </w:r>
      <w:r>
        <w:rPr>
          <w:rFonts w:hint="eastAsia" w:ascii="Times New Roman" w:hAnsi="Times New Roman" w:cs="Times New Roman" w:eastAsiaTheme="minorEastAsia"/>
          <w:u w:val="single"/>
          <w:lang w:val="en-US" w:eastAsia="zh-CN"/>
        </w:rPr>
        <w:t xml:space="preserve"> </w:t>
      </w:r>
      <w:r>
        <w:rPr>
          <w:rFonts w:ascii="Times New Roman" w:hAnsi="Times New Roman" w:cs="Times New Roman" w:eastAsiaTheme="minorEastAsia"/>
          <w:u w:val="single"/>
        </w:rPr>
        <w:t xml:space="preserve"> </w:t>
      </w:r>
      <w:r>
        <w:rPr>
          <w:rFonts w:ascii="Times New Roman" w:hAnsi="Times New Roman" w:cs="Times New Roman" w:eastAsiaTheme="minorEastAsia"/>
          <w:lang w:eastAsia="zh-Hans"/>
        </w:rPr>
        <w:t>%的增值税专用发</w:t>
      </w:r>
      <w:r>
        <w:rPr>
          <w:rFonts w:ascii="Times New Roman" w:hAnsi="Times New Roman" w:cs="Times New Roman"/>
        </w:rPr>
        <w:t>票（税金由我方承担，包含在块石价格中），我方不以任何理由额外索取任何费用。</w:t>
      </w:r>
      <w:r>
        <w:rPr>
          <w:rFonts w:ascii="Times New Roman" w:hAnsi="Times New Roman" w:cs="Times New Roman"/>
          <w:b/>
          <w:bCs/>
        </w:rPr>
        <w:t>我方投标单价为固定单价，供应期及供应量内单价不随市场价格变动而调整。</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lang w:eastAsia="zh-Hans"/>
        </w:rPr>
      </w:pPr>
      <w:r>
        <w:rPr>
          <w:rFonts w:ascii="Times New Roman" w:hAnsi="Times New Roman" w:cs="Times New Roman"/>
        </w:rPr>
        <w:t>2</w:t>
      </w:r>
      <w:r>
        <w:rPr>
          <w:rFonts w:ascii="Times New Roman" w:hAnsi="Times New Roman" w:cs="Times New Roman"/>
          <w:lang w:eastAsia="zh-Hans"/>
        </w:rPr>
        <w:t>、</w:t>
      </w:r>
      <w:r>
        <w:rPr>
          <w:rFonts w:hint="eastAsia" w:ascii="Times New Roman" w:hAnsi="Times New Roman" w:cs="Times New Roman"/>
          <w:lang w:eastAsia="zh-Hans"/>
        </w:rPr>
        <w:t>我方同意每</w:t>
      </w:r>
      <w:r>
        <w:rPr>
          <w:rFonts w:hint="eastAsia" w:ascii="Times New Roman" w:hAnsi="Times New Roman" w:cs="Times New Roman"/>
          <w:lang w:val="en-US" w:eastAsia="zh-CN"/>
        </w:rPr>
        <w:t>批供货</w:t>
      </w:r>
      <w:r>
        <w:rPr>
          <w:rFonts w:hint="eastAsia" w:ascii="Times New Roman" w:hAnsi="Times New Roman" w:cs="Times New Roman"/>
          <w:lang w:eastAsia="zh-Hans"/>
        </w:rPr>
        <w:t>提供磅单，项目部随机</w:t>
      </w:r>
      <w:r>
        <w:rPr>
          <w:rFonts w:hint="eastAsia" w:ascii="Times New Roman" w:hAnsi="Times New Roman" w:cs="Times New Roman"/>
          <w:lang w:val="en-US" w:eastAsia="zh-CN"/>
        </w:rPr>
        <w:t>抽检过</w:t>
      </w:r>
      <w:r>
        <w:rPr>
          <w:rFonts w:hint="eastAsia" w:ascii="Times New Roman" w:hAnsi="Times New Roman" w:cs="Times New Roman"/>
          <w:lang w:eastAsia="zh-Hans"/>
        </w:rPr>
        <w:t>磅，</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误差在</w:t>
      </w:r>
      <w:r>
        <w:rPr>
          <w:rFonts w:hint="eastAsia" w:ascii="Times New Roman" w:hAnsi="Times New Roman" w:cs="Times New Roman"/>
          <w:lang w:eastAsia="zh-CN"/>
        </w:rPr>
        <w:t>3‰</w:t>
      </w:r>
      <w:r>
        <w:rPr>
          <w:rFonts w:hint="eastAsia" w:ascii="Times New Roman" w:hAnsi="Times New Roman" w:cs="Times New Roman"/>
          <w:lang w:eastAsia="zh-Hans"/>
        </w:rPr>
        <w:t>以内不做调整，</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误差超过</w:t>
      </w:r>
      <w:r>
        <w:rPr>
          <w:rFonts w:hint="eastAsia" w:ascii="Times New Roman" w:hAnsi="Times New Roman" w:cs="Times New Roman"/>
          <w:lang w:eastAsia="zh-CN"/>
        </w:rPr>
        <w:t>3‰，</w:t>
      </w:r>
      <w:r>
        <w:rPr>
          <w:rFonts w:hint="eastAsia" w:ascii="Times New Roman" w:hAnsi="Times New Roman" w:cs="Times New Roman"/>
          <w:lang w:eastAsia="zh-Hans"/>
        </w:rPr>
        <w:t>则对该批货物</w:t>
      </w:r>
      <w:r>
        <w:rPr>
          <w:rFonts w:hint="eastAsia" w:ascii="Times New Roman" w:hAnsi="Times New Roman" w:cs="Times New Roman"/>
          <w:lang w:val="en-US" w:eastAsia="zh-CN"/>
        </w:rPr>
        <w:t>重</w:t>
      </w:r>
      <w:r>
        <w:rPr>
          <w:rFonts w:hint="eastAsia" w:ascii="Times New Roman" w:hAnsi="Times New Roman" w:cs="Times New Roman"/>
          <w:lang w:eastAsia="zh-Hans"/>
        </w:rPr>
        <w:t>量统一按照</w:t>
      </w:r>
      <w:r>
        <w:rPr>
          <w:rFonts w:hint="eastAsia" w:ascii="Times New Roman" w:hAnsi="Times New Roman" w:cs="Times New Roman"/>
          <w:lang w:val="en-US" w:eastAsia="zh-CN"/>
        </w:rPr>
        <w:t>抽检短少的最大比例</w:t>
      </w:r>
      <w:r>
        <w:rPr>
          <w:rFonts w:hint="eastAsia" w:ascii="Times New Roman" w:hAnsi="Times New Roman" w:cs="Times New Roman"/>
          <w:lang w:eastAsia="zh-Hans"/>
        </w:rPr>
        <w:t>进行全部扣除</w:t>
      </w:r>
      <w:r>
        <w:rPr>
          <w:rFonts w:hint="eastAsia" w:ascii="Times New Roman" w:hAnsi="Times New Roman" w:cs="Times New Roman"/>
          <w:lang w:val="en-US" w:eastAsia="zh-CN"/>
        </w:rPr>
        <w:t>后的数量作为</w:t>
      </w:r>
      <w:r>
        <w:rPr>
          <w:rFonts w:ascii="Times New Roman" w:hAnsi="Times New Roman" w:cs="Times New Roman"/>
          <w:lang w:eastAsia="zh-Hans"/>
        </w:rPr>
        <w:t>结算数量。</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shd w:val="clear" w:color="auto" w:fill="FFFFFF"/>
        </w:rPr>
      </w:pPr>
      <w:r>
        <w:rPr>
          <w:rFonts w:ascii="Times New Roman" w:hAnsi="Times New Roman" w:cs="Times New Roman"/>
        </w:rPr>
        <w:t>3、我方承诺：我方提供</w:t>
      </w:r>
      <w:r>
        <w:rPr>
          <w:rFonts w:hint="eastAsia" w:ascii="Times New Roman" w:hAnsi="Times New Roman" w:cs="Times New Roman"/>
        </w:rPr>
        <w:t>石质坚硬，尺寸合适，无风化、裂缝且具有较好抗蚀性的石材，不使用薄片、条状、尖角等形状的块石，亦不使用风化石、泥岩等</w:t>
      </w:r>
      <w:r>
        <w:rPr>
          <w:rFonts w:ascii="Times New Roman" w:hAnsi="Times New Roman" w:cs="Times New Roman"/>
          <w:lang w:eastAsia="zh-Hans"/>
        </w:rPr>
        <w:t>用作抛填石料</w:t>
      </w:r>
      <w:r>
        <w:rPr>
          <w:rFonts w:hint="eastAsia" w:ascii="Times New Roman" w:hAnsi="Times New Roman" w:cs="Times New Roman"/>
        </w:rPr>
        <w:t>。。格宾石笼块石粒径0.15m~0.</w:t>
      </w:r>
      <w:r>
        <w:rPr>
          <w:rFonts w:hint="eastAsia" w:ascii="Times New Roman" w:hAnsi="Times New Roman" w:cs="Times New Roman"/>
          <w:lang w:val="en-US" w:eastAsia="zh-CN"/>
        </w:rPr>
        <w:t>4</w:t>
      </w:r>
      <w:r>
        <w:rPr>
          <w:rFonts w:hint="eastAsia" w:ascii="Times New Roman" w:hAnsi="Times New Roman" w:cs="Times New Roman"/>
        </w:rPr>
        <w:t>0m，</w:t>
      </w:r>
      <w:r>
        <w:rPr>
          <w:rFonts w:ascii="Times New Roman" w:hAnsi="Times New Roman" w:cs="Times New Roman"/>
          <w:shd w:val="clear" w:color="auto" w:fill="FFFFFF"/>
          <w:lang w:eastAsia="zh-Hans"/>
        </w:rPr>
        <w:t>符合</w:t>
      </w:r>
      <w:r>
        <w:rPr>
          <w:rFonts w:ascii="Times New Roman" w:hAnsi="Times New Roman" w:cs="Times New Roman"/>
          <w:lang w:eastAsia="zh-Hans"/>
        </w:rPr>
        <w:t>湿抗压强度大于30</w:t>
      </w:r>
      <w:r>
        <w:rPr>
          <w:rFonts w:hint="eastAsia" w:ascii="Times New Roman" w:hAnsi="Times New Roman" w:cs="Times New Roman"/>
        </w:rPr>
        <w:t>m</w:t>
      </w:r>
      <w:r>
        <w:rPr>
          <w:rFonts w:ascii="Times New Roman" w:hAnsi="Times New Roman" w:cs="Times New Roman"/>
          <w:lang w:eastAsia="zh-Hans"/>
        </w:rPr>
        <w:t>pa</w:t>
      </w:r>
      <w:r>
        <w:rPr>
          <w:rFonts w:hint="eastAsia" w:ascii="Times New Roman" w:hAnsi="Times New Roman" w:cs="Times New Roman"/>
        </w:rPr>
        <w:t>，</w:t>
      </w:r>
      <w:r>
        <w:rPr>
          <w:rFonts w:ascii="Times New Roman" w:hAnsi="Times New Roman" w:cs="Times New Roman"/>
          <w:lang w:eastAsia="zh-Hans"/>
        </w:rPr>
        <w:t>软化系数大于0.7</w:t>
      </w:r>
      <w:r>
        <w:rPr>
          <w:rFonts w:hint="eastAsia" w:ascii="Times New Roman" w:hAnsi="Times New Roman" w:cs="Times New Roman"/>
        </w:rPr>
        <w:t>，</w:t>
      </w:r>
      <w:r>
        <w:rPr>
          <w:rFonts w:ascii="Times New Roman" w:hAnsi="Times New Roman" w:cs="Times New Roman"/>
          <w:lang w:eastAsia="zh-Hans"/>
        </w:rPr>
        <w:t>密度不小于2.4t/m³。</w:t>
      </w:r>
      <w:r>
        <w:rPr>
          <w:rFonts w:hint="eastAsia" w:ascii="Times New Roman" w:hAnsi="Times New Roman" w:cs="Times New Roman"/>
          <w:lang w:eastAsia="zh-Hans"/>
        </w:rPr>
        <w:t>填充料宜进行级配实验分析，</w:t>
      </w:r>
      <w:r>
        <w:rPr>
          <w:rFonts w:hint="eastAsia" w:ascii="Times New Roman" w:hAnsi="Times New Roman" w:cs="Times New Roman"/>
          <w:lang w:val="en-US" w:eastAsia="zh-CN"/>
        </w:rPr>
        <w:t>保证</w:t>
      </w:r>
      <w:r>
        <w:rPr>
          <w:rFonts w:hint="eastAsia" w:ascii="Times New Roman" w:hAnsi="Times New Roman" w:cs="Times New Roman"/>
          <w:lang w:eastAsia="zh-Hans"/>
        </w:rPr>
        <w:t>级配合理。</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lang w:eastAsia="zh-Hans"/>
        </w:rPr>
      </w:pPr>
      <w:r>
        <w:rPr>
          <w:rFonts w:ascii="Times New Roman" w:hAnsi="Times New Roman" w:cs="Times New Roman"/>
          <w:lang w:eastAsia="zh-Hans"/>
        </w:rPr>
        <w:t>供应过程中</w:t>
      </w:r>
      <w:r>
        <w:rPr>
          <w:rFonts w:ascii="Times New Roman" w:hAnsi="Times New Roman" w:cs="Times New Roman"/>
        </w:rPr>
        <w:t>如有以次充好的现象，贵公司可没收我方履约保证金</w:t>
      </w:r>
      <w:r>
        <w:rPr>
          <w:rFonts w:ascii="Times New Roman" w:hAnsi="Times New Roman" w:cs="Times New Roman"/>
          <w:lang w:eastAsia="zh-Hans"/>
        </w:rPr>
        <w:t>。</w:t>
      </w:r>
      <w:r>
        <w:rPr>
          <w:rFonts w:ascii="Times New Roman" w:hAnsi="Times New Roman" w:cs="Times New Roman"/>
        </w:rPr>
        <w:t>同时我方愿意承担</w:t>
      </w:r>
      <w:r>
        <w:rPr>
          <w:rFonts w:ascii="Times New Roman" w:hAnsi="Times New Roman" w:cs="Times New Roman"/>
          <w:b/>
          <w:bCs/>
        </w:rPr>
        <w:t>伍万元</w:t>
      </w:r>
      <w:r>
        <w:rPr>
          <w:rFonts w:ascii="Times New Roman" w:hAnsi="Times New Roman" w:cs="Times New Roman"/>
        </w:rPr>
        <w:t>违约金。</w:t>
      </w:r>
      <w:r>
        <w:rPr>
          <w:rFonts w:ascii="Times New Roman" w:hAnsi="Times New Roman" w:cs="Times New Roman"/>
          <w:lang w:eastAsia="zh-Hans"/>
        </w:rPr>
        <w:t>造成</w:t>
      </w:r>
      <w:r>
        <w:rPr>
          <w:rFonts w:ascii="Times New Roman" w:hAnsi="Times New Roman" w:cs="Times New Roman"/>
        </w:rPr>
        <w:t>贵公司</w:t>
      </w:r>
      <w:r>
        <w:rPr>
          <w:rFonts w:ascii="Times New Roman" w:hAnsi="Times New Roman" w:cs="Times New Roman"/>
          <w:lang w:eastAsia="zh-Hans"/>
        </w:rPr>
        <w:t>相关损失的（</w:t>
      </w:r>
      <w:r>
        <w:rPr>
          <w:rFonts w:hint="eastAsia" w:ascii="宋体" w:hAnsi="宋体" w:cs="宋体"/>
          <w:sz w:val="24"/>
          <w:szCs w:val="24"/>
        </w:rPr>
        <w:t>包括但不限于工程产品报废、返工返修、工期延误、鉴定费、律师费、诉讼费、差旅费</w:t>
      </w:r>
      <w:r>
        <w:rPr>
          <w:rFonts w:ascii="宋体" w:hAnsi="宋体" w:cs="宋体"/>
          <w:sz w:val="24"/>
          <w:szCs w:val="24"/>
        </w:rPr>
        <w:t>等费用和损失</w:t>
      </w:r>
      <w:r>
        <w:rPr>
          <w:rFonts w:ascii="Times New Roman" w:hAnsi="Times New Roman" w:cs="Times New Roman"/>
          <w:lang w:eastAsia="zh-Hans"/>
        </w:rPr>
        <w:t>），</w:t>
      </w:r>
      <w:r>
        <w:rPr>
          <w:rFonts w:ascii="Times New Roman" w:hAnsi="Times New Roman" w:cs="Times New Roman"/>
        </w:rPr>
        <w:t>我方自愿</w:t>
      </w:r>
      <w:r>
        <w:rPr>
          <w:rFonts w:ascii="Times New Roman" w:hAnsi="Times New Roman" w:cs="Times New Roman"/>
          <w:lang w:eastAsia="zh-Hans"/>
        </w:rPr>
        <w:t>赔偿</w:t>
      </w:r>
      <w:r>
        <w:rPr>
          <w:rFonts w:ascii="Times New Roman" w:hAnsi="Times New Roman" w:cs="Times New Roman"/>
        </w:rPr>
        <w:t>贵公司一切费用和</w:t>
      </w:r>
      <w:r>
        <w:rPr>
          <w:rFonts w:ascii="Times New Roman" w:hAnsi="Times New Roman" w:cs="Times New Roman"/>
          <w:lang w:eastAsia="zh-Hans"/>
        </w:rPr>
        <w:t>损失，并承担相关责任。</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rPr>
      </w:pPr>
      <w:r>
        <w:rPr>
          <w:rFonts w:ascii="Times New Roman" w:hAnsi="Times New Roman" w:cs="Times New Roman"/>
        </w:rPr>
        <w:t>4、我方接受贵公司招标公告中列明的付款方式和付款条件，收款前我方提供加盖财务专用章的收款收据。</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rPr>
      </w:pPr>
      <w:r>
        <w:rPr>
          <w:rFonts w:ascii="Times New Roman" w:hAnsi="Times New Roman" w:cs="Times New Roman"/>
        </w:rPr>
        <w:t>5、我方派专人为贵公司项目部提供7×24小时的服务，包括但不限于工程项目部供货计划的接收、供货的协调块石收货签单的核对、与项目部办理结算等。提供服务人员能在半小时内赶到施工现场。人员费用已考虑在投标报价中。</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rPr>
      </w:pPr>
      <w:r>
        <w:rPr>
          <w:rFonts w:ascii="Times New Roman" w:hAnsi="Times New Roman" w:cs="Times New Roman"/>
        </w:rPr>
        <w:t>6、其他特别优惠或服务的内容（没有的可不填写，也可另附说明并加盖公章）：</w:t>
      </w:r>
    </w:p>
    <w:p>
      <w:pPr>
        <w:pStyle w:val="2"/>
        <w:keepNext w:val="0"/>
        <w:keepLines w:val="0"/>
        <w:pageBreakBefore w:val="0"/>
        <w:widowControl w:val="0"/>
        <w:shd w:val="clear"/>
        <w:kinsoku/>
        <w:wordWrap/>
        <w:overflowPunct/>
        <w:topLinePunct w:val="0"/>
        <w:autoSpaceDE/>
        <w:autoSpaceDN/>
        <w:bidi w:val="0"/>
        <w:spacing w:before="0" w:line="272" w:lineRule="auto"/>
        <w:jc w:val="both"/>
        <w:textAlignment w:val="auto"/>
      </w:pPr>
    </w:p>
    <w:p>
      <w:pPr>
        <w:keepNext w:val="0"/>
        <w:keepLines w:val="0"/>
        <w:pageBreakBefore w:val="0"/>
        <w:widowControl w:val="0"/>
        <w:shd w:val="clear"/>
        <w:kinsoku/>
        <w:wordWrap/>
        <w:overflowPunct/>
        <w:topLinePunct w:val="0"/>
        <w:autoSpaceDE/>
        <w:autoSpaceDN/>
        <w:bidi w:val="0"/>
        <w:adjustRightInd w:val="0"/>
        <w:snapToGrid w:val="0"/>
        <w:spacing w:line="272"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shd w:val="clear"/>
        <w:kinsoku/>
        <w:wordWrap/>
        <w:overflowPunct/>
        <w:topLinePunct w:val="0"/>
        <w:autoSpaceDE/>
        <w:autoSpaceDN/>
        <w:bidi w:val="0"/>
        <w:adjustRightInd w:val="0"/>
        <w:snapToGrid w:val="0"/>
        <w:spacing w:line="272"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pPr>
        <w:keepNext w:val="0"/>
        <w:keepLines w:val="0"/>
        <w:pageBreakBefore w:val="0"/>
        <w:widowControl w:val="0"/>
        <w:shd w:val="clear"/>
        <w:kinsoku/>
        <w:wordWrap/>
        <w:overflowPunct/>
        <w:topLinePunct w:val="0"/>
        <w:autoSpaceDE/>
        <w:autoSpaceDN/>
        <w:bidi w:val="0"/>
        <w:adjustRightInd w:val="0"/>
        <w:snapToGrid w:val="0"/>
        <w:spacing w:line="272"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pPr>
        <w:keepNext w:val="0"/>
        <w:keepLines w:val="0"/>
        <w:pageBreakBefore w:val="0"/>
        <w:widowControl w:val="0"/>
        <w:shd w:val="clear"/>
        <w:kinsoku/>
        <w:wordWrap/>
        <w:overflowPunct/>
        <w:topLinePunct w:val="0"/>
        <w:autoSpaceDE/>
        <w:autoSpaceDN/>
        <w:bidi w:val="0"/>
        <w:adjustRightInd w:val="0"/>
        <w:snapToGrid w:val="0"/>
        <w:spacing w:line="272" w:lineRule="auto"/>
        <w:ind w:firstLine="4800" w:firstLineChars="2000"/>
        <w:textAlignment w:val="auto"/>
        <w:rPr>
          <w:rFonts w:hint="eastAsia"/>
          <w:sz w:val="21"/>
          <w:szCs w:val="21"/>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b/>
          <w:bCs/>
          <w:sz w:val="21"/>
          <w:szCs w:val="21"/>
        </w:rPr>
        <w:t>附件4</w:t>
      </w:r>
      <w:r>
        <w:rPr>
          <w:sz w:val="21"/>
          <w:szCs w:val="21"/>
        </w:rPr>
        <w:t>：法定代表人资格证明书</w:t>
      </w:r>
    </w:p>
    <w:p>
      <w:pPr>
        <w:adjustRightInd w:val="0"/>
        <w:snapToGrid w:val="0"/>
        <w:spacing w:line="276" w:lineRule="auto"/>
        <w:ind w:firstLine="360"/>
        <w:rPr>
          <w:rFonts w:hint="eastAsia"/>
          <w:sz w:val="18"/>
          <w:szCs w:val="18"/>
        </w:rPr>
      </w:pPr>
    </w:p>
    <w:p>
      <w:pPr>
        <w:widowControl/>
        <w:adjustRightInd w:val="0"/>
        <w:snapToGrid w:val="0"/>
        <w:ind w:firstLine="0" w:firstLineChars="0"/>
        <w:jc w:val="center"/>
        <w:rPr>
          <w:rFonts w:hint="eastAsia"/>
          <w:b/>
          <w:bCs/>
          <w:sz w:val="32"/>
          <w:szCs w:val="32"/>
        </w:rPr>
      </w:pPr>
      <w:r>
        <w:rPr>
          <w:b/>
          <w:bCs/>
          <w:sz w:val="32"/>
          <w:szCs w:val="32"/>
        </w:rPr>
        <w:t>法定代表人资格证明书</w:t>
      </w:r>
    </w:p>
    <w:p>
      <w:pPr>
        <w:pStyle w:val="10"/>
        <w:adjustRightInd w:val="0"/>
        <w:snapToGrid w:val="0"/>
        <w:ind w:firstLine="360"/>
        <w:rPr>
          <w:rFonts w:ascii="Times New Roman" w:hAnsi="Times New Roman"/>
          <w:sz w:val="18"/>
          <w:szCs w:val="18"/>
        </w:rPr>
      </w:pPr>
    </w:p>
    <w:p>
      <w:pPr>
        <w:pStyle w:val="10"/>
        <w:adjustRightInd w:val="0"/>
        <w:snapToGrid w:val="0"/>
        <w:ind w:firstLine="562"/>
        <w:rPr>
          <w:rFonts w:ascii="Times New Roman" w:hAnsi="Times New Roman"/>
          <w:b/>
          <w:bCs/>
          <w:sz w:val="28"/>
          <w:szCs w:val="28"/>
        </w:rPr>
      </w:pPr>
    </w:p>
    <w:p>
      <w:pPr>
        <w:pStyle w:val="10"/>
        <w:adjustRightInd w:val="0"/>
        <w:snapToGrid w:val="0"/>
        <w:ind w:firstLine="0" w:firstLineChars="0"/>
        <w:rPr>
          <w:rFonts w:ascii="Times New Roman" w:hAnsi="Times New Roman"/>
          <w:sz w:val="28"/>
          <w:szCs w:val="28"/>
        </w:rPr>
      </w:pPr>
      <w:r>
        <w:rPr>
          <w:rFonts w:ascii="Times New Roman" w:hAnsi="Times New Roman"/>
          <w:b/>
          <w:bCs/>
          <w:sz w:val="28"/>
          <w:szCs w:val="28"/>
        </w:rPr>
        <w:t>江苏省水利建设工程有限公司：</w:t>
      </w:r>
    </w:p>
    <w:p>
      <w:pPr>
        <w:pStyle w:val="10"/>
        <w:adjustRightInd w:val="0"/>
        <w:snapToGrid w:val="0"/>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pPr>
        <w:pStyle w:val="10"/>
        <w:adjustRightInd w:val="0"/>
        <w:snapToGrid w:val="0"/>
        <w:ind w:firstLine="560"/>
        <w:rPr>
          <w:rFonts w:ascii="Times New Roman" w:hAnsi="Times New Roman"/>
          <w:sz w:val="28"/>
          <w:szCs w:val="28"/>
        </w:rPr>
      </w:pPr>
      <w:r>
        <w:rPr>
          <w:rFonts w:ascii="Times New Roman" w:hAnsi="Times New Roman"/>
          <w:sz w:val="28"/>
          <w:szCs w:val="28"/>
        </w:rPr>
        <w:t>特此证明。</w:t>
      </w:r>
    </w:p>
    <w:p>
      <w:pPr>
        <w:pStyle w:val="10"/>
        <w:adjustRightInd w:val="0"/>
        <w:snapToGrid w:val="0"/>
        <w:ind w:firstLine="560"/>
        <w:rPr>
          <w:rFonts w:ascii="Times New Roman" w:hAnsi="Times New Roman"/>
          <w:sz w:val="28"/>
          <w:szCs w:val="28"/>
        </w:rPr>
      </w:pPr>
    </w:p>
    <w:p>
      <w:pPr>
        <w:pStyle w:val="10"/>
        <w:adjustRightInd w:val="0"/>
        <w:snapToGrid w:val="0"/>
        <w:ind w:firstLine="560"/>
        <w:rPr>
          <w:rFonts w:ascii="Times New Roman" w:hAnsi="Times New Roman"/>
          <w:sz w:val="28"/>
          <w:szCs w:val="28"/>
        </w:rPr>
      </w:pPr>
    </w:p>
    <w:p>
      <w:pPr>
        <w:pStyle w:val="10"/>
        <w:adjustRightInd w:val="0"/>
        <w:snapToGrid w:val="0"/>
        <w:ind w:firstLine="560"/>
        <w:rPr>
          <w:rFonts w:ascii="Times New Roman" w:hAnsi="Times New Roman"/>
          <w:sz w:val="28"/>
          <w:szCs w:val="28"/>
        </w:rPr>
      </w:pPr>
    </w:p>
    <w:p>
      <w:pPr>
        <w:pStyle w:val="10"/>
        <w:adjustRightInd w:val="0"/>
        <w:snapToGrid w:val="0"/>
        <w:ind w:firstLine="560"/>
        <w:rPr>
          <w:rFonts w:ascii="Times New Roman" w:hAnsi="Times New Roman"/>
          <w:sz w:val="28"/>
          <w:szCs w:val="28"/>
        </w:rPr>
      </w:pPr>
    </w:p>
    <w:p>
      <w:pPr>
        <w:pStyle w:val="10"/>
        <w:adjustRightInd w:val="0"/>
        <w:snapToGrid w:val="0"/>
        <w:spacing w:line="480" w:lineRule="auto"/>
        <w:ind w:left="5040" w:leftChars="2100" w:firstLine="560"/>
        <w:rPr>
          <w:rFonts w:ascii="Times New Roman" w:hAnsi="Times New Roman"/>
          <w:sz w:val="28"/>
          <w:szCs w:val="28"/>
        </w:rPr>
      </w:pPr>
      <w:r>
        <w:rPr>
          <w:rFonts w:ascii="Times New Roman" w:hAnsi="Times New Roman"/>
          <w:sz w:val="28"/>
          <w:szCs w:val="28"/>
        </w:rPr>
        <w:t>投标单位：(盖章)</w:t>
      </w:r>
    </w:p>
    <w:p>
      <w:pPr>
        <w:pStyle w:val="10"/>
        <w:adjustRightInd w:val="0"/>
        <w:snapToGrid w:val="0"/>
        <w:spacing w:line="480" w:lineRule="auto"/>
        <w:ind w:left="5040" w:leftChars="2100" w:firstLine="560"/>
        <w:rPr>
          <w:rFonts w:ascii="Times New Roman" w:hAnsi="Times New Roman"/>
          <w:sz w:val="28"/>
          <w:szCs w:val="28"/>
        </w:rPr>
      </w:pPr>
      <w:r>
        <w:rPr>
          <w:rFonts w:ascii="Times New Roman" w:hAnsi="Times New Roman"/>
          <w:sz w:val="28"/>
          <w:szCs w:val="28"/>
        </w:rPr>
        <w:t>投标单位法定代表人签名：</w:t>
      </w:r>
    </w:p>
    <w:p>
      <w:pPr>
        <w:pStyle w:val="10"/>
        <w:adjustRightInd w:val="0"/>
        <w:snapToGrid w:val="0"/>
        <w:spacing w:line="480" w:lineRule="auto"/>
        <w:ind w:left="5040" w:leftChars="2100" w:firstLine="560"/>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pPr>
        <w:adjustRightInd w:val="0"/>
        <w:snapToGrid w:val="0"/>
        <w:ind w:firstLine="560"/>
        <w:rPr>
          <w:rFonts w:hint="eastAsia"/>
          <w:sz w:val="28"/>
          <w:szCs w:val="28"/>
        </w:rPr>
      </w:pPr>
      <w:r>
        <w:rPr>
          <w:sz w:val="28"/>
          <w:szCs w:val="28"/>
        </w:rPr>
        <w:t>附：法定代表人身份证复印件</w:t>
      </w:r>
    </w:p>
    <w:p>
      <w:pPr>
        <w:ind w:firstLine="361"/>
        <w:rPr>
          <w:rFonts w:ascii="Times New Roman" w:hAnsi="Times New Roman"/>
          <w:b/>
          <w:sz w:val="18"/>
          <w:szCs w:val="18"/>
        </w:rPr>
      </w:pPr>
    </w:p>
    <w:p>
      <w:pPr>
        <w:ind w:firstLine="361"/>
        <w:rPr>
          <w:rFonts w:ascii="Times New Roman" w:hAnsi="Times New Roman"/>
          <w:b/>
          <w:sz w:val="18"/>
          <w:szCs w:val="18"/>
        </w:rPr>
      </w:pPr>
    </w:p>
    <w:p>
      <w:pPr>
        <w:ind w:firstLine="361"/>
        <w:rPr>
          <w:rFonts w:ascii="Times New Roman" w:hAnsi="Times New Roman"/>
          <w:b/>
          <w:sz w:val="18"/>
          <w:szCs w:val="18"/>
        </w:rPr>
      </w:pPr>
    </w:p>
    <w:p>
      <w:pPr>
        <w:ind w:firstLine="361"/>
        <w:rPr>
          <w:rFonts w:ascii="Times New Roman" w:hAnsi="Times New Roman"/>
          <w:b/>
          <w:sz w:val="18"/>
          <w:szCs w:val="18"/>
        </w:rPr>
      </w:pPr>
      <w:r>
        <w:rPr>
          <w:rFonts w:ascii="Times New Roman" w:hAnsi="Times New Roman"/>
          <w:b/>
          <w:sz w:val="18"/>
          <w:szCs w:val="18"/>
        </w:rPr>
        <w:br w:type="page"/>
      </w:r>
    </w:p>
    <w:p>
      <w:pPr>
        <w:pStyle w:val="10"/>
        <w:spacing w:line="240" w:lineRule="auto"/>
        <w:ind w:firstLine="0" w:firstLineChars="0"/>
        <w:rPr>
          <w:rFonts w:ascii="Times New Roman" w:hAnsi="Times New Roman"/>
          <w:b/>
          <w:sz w:val="18"/>
          <w:szCs w:val="18"/>
        </w:rPr>
      </w:pPr>
      <w:r>
        <w:rPr>
          <w:rFonts w:ascii="Times New Roman" w:hAnsi="Times New Roman"/>
          <w:b/>
          <w:sz w:val="18"/>
          <w:szCs w:val="18"/>
        </w:rPr>
        <w:t>附件5</w:t>
      </w:r>
    </w:p>
    <w:p>
      <w:pPr>
        <w:widowControl/>
        <w:adjustRightInd w:val="0"/>
        <w:snapToGrid w:val="0"/>
        <w:ind w:firstLine="0" w:firstLineChars="0"/>
        <w:jc w:val="center"/>
        <w:rPr>
          <w:rFonts w:hint="eastAsia"/>
          <w:b/>
          <w:bCs/>
          <w:sz w:val="32"/>
          <w:szCs w:val="32"/>
        </w:rPr>
      </w:pPr>
      <w:r>
        <w:rPr>
          <w:b/>
          <w:bCs/>
          <w:sz w:val="32"/>
          <w:szCs w:val="32"/>
        </w:rPr>
        <w:t>授权委托书</w:t>
      </w:r>
    </w:p>
    <w:p>
      <w:pPr>
        <w:pStyle w:val="2"/>
      </w:pPr>
    </w:p>
    <w:p>
      <w:pPr>
        <w:ind w:firstLine="0" w:firstLineChars="0"/>
        <w:rPr>
          <w:rFonts w:hint="eastAsia"/>
        </w:rPr>
      </w:pPr>
      <w:r>
        <w:t>江苏省水利建设工程有限公司：</w:t>
      </w:r>
    </w:p>
    <w:p>
      <w:pPr>
        <w:rPr>
          <w:rFonts w:hint="eastAsia"/>
        </w:rPr>
      </w:pPr>
      <w:r>
        <w:t>本人</w:t>
      </w:r>
      <w:r>
        <w:rPr>
          <w:u w:val="single"/>
        </w:rPr>
        <w:t>（姓名）</w:t>
      </w:r>
      <w:r>
        <w:t>，系</w:t>
      </w:r>
      <w:r>
        <w:rPr>
          <w:u w:val="single"/>
        </w:rPr>
        <w:t>（投标人单位名称）</w:t>
      </w:r>
      <w:r>
        <w:t>的法定代表人，现委托</w:t>
      </w:r>
      <w:r>
        <w:rPr>
          <w:u w:val="single"/>
        </w:rPr>
        <w:t xml:space="preserve">        （姓名）</w:t>
      </w:r>
      <w:r>
        <w:rPr>
          <w:rFonts w:hint="eastAsia"/>
        </w:rPr>
        <w:t>（</w:t>
      </w:r>
      <w:r>
        <w:rPr>
          <w:rFonts w:hint="eastAsia"/>
          <w:sz w:val="24"/>
          <w:szCs w:val="24"/>
        </w:rPr>
        <w:t xml:space="preserve">身份证号：   </w:t>
      </w:r>
      <w:r>
        <w:rPr>
          <w:rFonts w:hint="eastAsia"/>
        </w:rPr>
        <w:t>）</w:t>
      </w:r>
      <w:r>
        <w:t>为投标人的委托代理人，授权其代表投标人签署、澄清、说明、补正、递交、撤回、修改</w:t>
      </w:r>
      <w:r>
        <w:rPr>
          <w:rFonts w:hint="eastAsia"/>
          <w:b/>
          <w:bCs/>
          <w:u w:val="single"/>
          <w:lang w:val="en-US" w:eastAsia="zh-Hans"/>
        </w:rPr>
        <w:t>淮河入海水道二期工程盐城市境内河道工程施工17标</w:t>
      </w:r>
      <w:r>
        <w:rPr>
          <w:b/>
          <w:bCs/>
          <w:u w:val="single"/>
        </w:rPr>
        <w:t>（桩号</w:t>
      </w:r>
      <w:r>
        <w:rPr>
          <w:rFonts w:hint="eastAsia"/>
          <w:b/>
          <w:bCs/>
          <w:u w:val="single"/>
          <w:lang w:val="en-US" w:eastAsia="zh-CN"/>
        </w:rPr>
        <w:t>146+5</w:t>
      </w:r>
      <w:r>
        <w:rPr>
          <w:b/>
          <w:bCs/>
          <w:u w:val="single"/>
        </w:rPr>
        <w:t>00～1</w:t>
      </w:r>
      <w:r>
        <w:rPr>
          <w:rFonts w:hint="eastAsia"/>
          <w:b/>
          <w:bCs/>
          <w:u w:val="single"/>
          <w:lang w:val="en-US" w:eastAsia="zh-CN"/>
        </w:rPr>
        <w:t>50</w:t>
      </w:r>
      <w:r>
        <w:rPr>
          <w:b/>
          <w:bCs/>
          <w:u w:val="single"/>
        </w:rPr>
        <w:t>+000）</w:t>
      </w:r>
      <w:r>
        <w:rPr>
          <w:rFonts w:hint="eastAsia"/>
          <w:b/>
          <w:bCs/>
          <w:u w:val="single"/>
        </w:rPr>
        <w:t>护脚</w:t>
      </w:r>
      <w:r>
        <w:rPr>
          <w:b/>
          <w:bCs/>
          <w:u w:val="single"/>
        </w:rPr>
        <w:t>用</w:t>
      </w:r>
      <w:r>
        <w:rPr>
          <w:rFonts w:hint="eastAsia"/>
          <w:b/>
          <w:bCs/>
          <w:u w:val="single"/>
        </w:rPr>
        <w:t>块石</w:t>
      </w:r>
      <w:r>
        <w:t>投标文件和处理投标过程中的事宜。</w:t>
      </w:r>
    </w:p>
    <w:p>
      <w:pPr>
        <w:rPr>
          <w:rFonts w:hint="eastAsia"/>
        </w:rPr>
      </w:pPr>
      <w:r>
        <w:t>委托代理人的委托权限还包括</w:t>
      </w:r>
      <w:r>
        <w:rPr>
          <w:rFonts w:hint="eastAsia"/>
        </w:rPr>
        <w:t>：</w:t>
      </w:r>
      <w:r>
        <w:t>参与谈判、签署文件、协议及合同。</w:t>
      </w:r>
    </w:p>
    <w:p>
      <w:pPr>
        <w:rPr>
          <w:rFonts w:hint="eastAsia"/>
        </w:rPr>
      </w:pPr>
      <w:r>
        <w:t>该委托代理人所签署的上述文件及办理的上述投标事宜，投标人均予承认，其法律后果均由投标人承担。</w:t>
      </w:r>
    </w:p>
    <w:p>
      <w:pPr>
        <w:pStyle w:val="10"/>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pPr>
        <w:pStyle w:val="10"/>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2"/>
        <w:keepNext w:val="0"/>
        <w:keepLines w:val="0"/>
        <w:pageBreakBefore w:val="0"/>
        <w:widowControl w:val="0"/>
        <w:kinsoku/>
        <w:wordWrap/>
        <w:overflowPunct/>
        <w:topLinePunct w:val="0"/>
        <w:autoSpaceDE/>
        <w:autoSpaceDN/>
        <w:bidi w:val="0"/>
        <w:spacing w:line="336" w:lineRule="auto"/>
        <w:textAlignment w:val="auto"/>
      </w:pP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pPr>
        <w:tabs>
          <w:tab w:val="left" w:pos="5280"/>
        </w:tabs>
        <w:adjustRightInd w:val="0"/>
        <w:snapToGrid w:val="0"/>
        <w:spacing w:line="480" w:lineRule="auto"/>
        <w:ind w:firstLine="480"/>
        <w:rPr>
          <w:sz w:val="24"/>
          <w:szCs w:val="24"/>
        </w:rPr>
      </w:pPr>
    </w:p>
    <w:p>
      <w:pPr>
        <w:pStyle w:val="2"/>
        <w:spacing w:line="336" w:lineRule="auto"/>
        <w:rPr>
          <w:sz w:val="24"/>
          <w:szCs w:val="24"/>
        </w:rPr>
      </w:pPr>
    </w:p>
    <w:p>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36" w:lineRule="auto"/>
        <w:ind w:firstLine="480" w:firstLineChars="200"/>
        <w:rPr>
          <w:sz w:val="24"/>
          <w:szCs w:val="24"/>
        </w:rPr>
      </w:pPr>
      <w:r>
        <w:rPr>
          <w:sz w:val="24"/>
          <w:szCs w:val="24"/>
        </w:rPr>
        <w:t>附：委托代理人身份证复印件</w:t>
      </w:r>
    </w:p>
    <w:p>
      <w:pPr>
        <w:ind w:firstLine="361"/>
        <w:rPr>
          <w:b/>
          <w:sz w:val="18"/>
          <w:szCs w:val="18"/>
        </w:rPr>
      </w:pPr>
    </w:p>
    <w:p>
      <w:pPr>
        <w:keepNext w:val="0"/>
        <w:keepLines w:val="0"/>
        <w:pageBreakBefore w:val="0"/>
        <w:widowControl w:val="0"/>
        <w:kinsoku/>
        <w:wordWrap/>
        <w:overflowPunct/>
        <w:topLinePunct w:val="0"/>
        <w:autoSpaceDE/>
        <w:autoSpaceDN/>
        <w:bidi w:val="0"/>
        <w:spacing w:line="336" w:lineRule="auto"/>
        <w:textAlignment w:val="auto"/>
        <w:rPr>
          <w:sz w:val="18"/>
          <w:szCs w:val="18"/>
        </w:rPr>
      </w:pPr>
    </w:p>
    <w:p>
      <w:pPr>
        <w:rPr>
          <w:rFonts w:hint="eastAsia"/>
        </w:rPr>
      </w:pPr>
      <w:r>
        <w:br w:type="page"/>
      </w:r>
    </w:p>
    <w:p>
      <w:pPr>
        <w:rPr>
          <w:rFonts w:hint="eastAsia"/>
        </w:rPr>
      </w:pPr>
      <w:r>
        <w:t>附件6、投标单位营业执照、</w:t>
      </w:r>
      <w:bookmarkStart w:id="8" w:name="_GoBack"/>
      <w:bookmarkEnd w:id="8"/>
      <w:r>
        <w:t>资信证明资料</w:t>
      </w:r>
    </w:p>
    <w:p>
      <w:pPr>
        <w:rPr>
          <w:rFonts w:hint="eastAsia"/>
        </w:rPr>
      </w:pPr>
    </w:p>
    <w:p>
      <w:pPr>
        <w:rPr>
          <w:rFonts w:hint="eastAsia"/>
        </w:rPr>
      </w:pPr>
    </w:p>
    <w:p>
      <w:pPr>
        <w:rPr>
          <w:rFonts w:hint="eastAsia"/>
        </w:rPr>
      </w:pPr>
      <w:r>
        <w:t>附件7、</w:t>
      </w:r>
      <w:r>
        <w:rPr>
          <w:rFonts w:hint="eastAsia"/>
        </w:rPr>
        <w:t>块石</w:t>
      </w:r>
      <w:r>
        <w:t>厂家营业执照、资质证书等相关资料</w:t>
      </w:r>
    </w:p>
    <w:p>
      <w:pPr>
        <w:rPr>
          <w:rFonts w:hint="eastAsia"/>
        </w:rPr>
      </w:pPr>
    </w:p>
    <w:p>
      <w:pPr>
        <w:rPr>
          <w:rFonts w:hint="eastAsia"/>
        </w:rPr>
      </w:pPr>
    </w:p>
    <w:p>
      <w:pPr>
        <w:rPr>
          <w:rFonts w:hint="eastAsia"/>
        </w:rPr>
      </w:pPr>
      <w:r>
        <w:t>附件8、投标保证金（汇款凭证）</w:t>
      </w:r>
    </w:p>
    <w:p>
      <w:pPr>
        <w:rPr>
          <w:rFonts w:hint="eastAsia"/>
        </w:rPr>
      </w:pPr>
    </w:p>
    <w:p>
      <w:pPr>
        <w:rPr>
          <w:rFonts w:hint="eastAsia"/>
        </w:rPr>
      </w:pPr>
    </w:p>
    <w:p>
      <w:pPr>
        <w:rPr>
          <w:rFonts w:hint="eastAsia"/>
          <w:b/>
          <w:sz w:val="18"/>
          <w:szCs w:val="18"/>
        </w:rPr>
      </w:pPr>
      <w:r>
        <w:rPr>
          <w:rFonts w:hint="eastAsia"/>
          <w:b/>
          <w:sz w:val="18"/>
          <w:szCs w:val="18"/>
        </w:rPr>
        <w:br w:type="page"/>
      </w:r>
    </w:p>
    <w:p>
      <w:pPr>
        <w:ind w:firstLine="643"/>
        <w:jc w:val="center"/>
        <w:rPr>
          <w:rFonts w:hint="eastAsia"/>
          <w:b/>
          <w:bCs/>
          <w:sz w:val="32"/>
          <w:szCs w:val="32"/>
        </w:rPr>
      </w:pPr>
      <w:r>
        <w:rPr>
          <w:b/>
          <w:bCs/>
          <w:sz w:val="32"/>
          <w:szCs w:val="32"/>
        </w:rPr>
        <w:t>第</w:t>
      </w:r>
      <w:r>
        <w:rPr>
          <w:rFonts w:hint="eastAsia"/>
          <w:b/>
          <w:bCs/>
          <w:sz w:val="32"/>
          <w:szCs w:val="32"/>
          <w:lang w:val="en-US" w:eastAsia="zh-CN"/>
        </w:rPr>
        <w:t>三</w:t>
      </w:r>
      <w:r>
        <w:rPr>
          <w:b/>
          <w:bCs/>
          <w:sz w:val="32"/>
          <w:szCs w:val="32"/>
        </w:rPr>
        <w:t>章</w:t>
      </w:r>
      <w:r>
        <w:rPr>
          <w:rFonts w:hint="eastAsia"/>
          <w:b/>
          <w:bCs/>
          <w:sz w:val="32"/>
          <w:szCs w:val="32"/>
        </w:rPr>
        <w:t xml:space="preserve">  块石</w:t>
      </w:r>
      <w:r>
        <w:rPr>
          <w:b/>
          <w:bCs/>
          <w:sz w:val="32"/>
          <w:szCs w:val="32"/>
        </w:rPr>
        <w:t>采购合同</w:t>
      </w:r>
    </w:p>
    <w:p>
      <w:pPr>
        <w:ind w:firstLine="5280" w:firstLineChars="2200"/>
        <w:rPr>
          <w:rFonts w:hint="eastAsia"/>
        </w:rPr>
      </w:pPr>
      <w:r>
        <w:t>合同编号：</w:t>
      </w:r>
    </w:p>
    <w:p>
      <w:pPr>
        <w:spacing w:line="312" w:lineRule="auto"/>
        <w:ind w:left="1176" w:leftChars="200" w:hanging="696" w:hangingChars="290"/>
        <w:rPr>
          <w:rFonts w:hint="eastAsia"/>
        </w:rPr>
      </w:pPr>
      <w:r>
        <w:t>买方：</w:t>
      </w:r>
      <w:r>
        <w:rPr>
          <w:rFonts w:hint="eastAsia"/>
        </w:rPr>
        <w:t>江苏省水利建设工程有限公司</w:t>
      </w:r>
      <w:r>
        <w:rPr>
          <w:rFonts w:hint="eastAsia" w:ascii="Times New Roman" w:hAnsi="Times New Roman" w:cs="Times New Roman"/>
          <w:lang w:val="en-US" w:eastAsia="zh-Hans"/>
        </w:rPr>
        <w:t>淮河入海水道二期工程盐城市境内河道工程施工17标</w:t>
      </w:r>
      <w:r>
        <w:rPr>
          <w:rFonts w:hint="eastAsia"/>
        </w:rPr>
        <w:t>项目经理部</w:t>
      </w:r>
      <w:r>
        <w:t>（以下简称甲方）</w:t>
      </w:r>
    </w:p>
    <w:p>
      <w:pPr>
        <w:spacing w:line="312" w:lineRule="auto"/>
        <w:rPr>
          <w:rFonts w:hint="eastAsia"/>
        </w:rPr>
      </w:pPr>
      <w:r>
        <w:t>卖方：</w:t>
      </w:r>
      <w:bookmarkStart w:id="6" w:name="_Hlk148377911"/>
      <w:r>
        <w:t>（注意：应填写对方营业执照上注册的全称）</w:t>
      </w:r>
      <w:bookmarkEnd w:id="6"/>
      <w:r>
        <w:rPr>
          <w:rFonts w:hint="eastAsia"/>
        </w:rPr>
        <w:t xml:space="preserve"> </w:t>
      </w:r>
      <w:r>
        <w:t xml:space="preserve">              （以下简称乙方）</w:t>
      </w:r>
    </w:p>
    <w:p>
      <w:pPr>
        <w:spacing w:line="312" w:lineRule="auto"/>
        <w:rPr>
          <w:rFonts w:hint="eastAsia"/>
        </w:rPr>
      </w:pPr>
      <w:r>
        <w:t>甲乙双方在平等、自愿、公平和诚实信用的基础上，根据《中华人民共和国民法典》及有关法律法规，就甲方向乙方采购</w:t>
      </w:r>
      <w:r>
        <w:rPr>
          <w:rFonts w:hint="eastAsia"/>
        </w:rPr>
        <w:t>块石</w:t>
      </w:r>
      <w:r>
        <w:t>一事，达成本协议，供双方共同遵守。</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一、块石</w:t>
      </w:r>
      <w:r>
        <w:rPr>
          <w:rFonts w:ascii="Times New Roman" w:hAnsi="Times New Roman" w:cs="Times New Roman"/>
          <w:b/>
          <w:bCs/>
        </w:rPr>
        <w:t>供应工程概况：</w:t>
      </w:r>
    </w:p>
    <w:p>
      <w:pPr>
        <w:pStyle w:val="26"/>
        <w:spacing w:line="312" w:lineRule="auto"/>
        <w:ind w:firstLine="480"/>
        <w:rPr>
          <w:rFonts w:ascii="Times New Roman" w:hAnsi="Times New Roman" w:cs="Times New Roman"/>
        </w:rPr>
      </w:pPr>
      <w:r>
        <w:rPr>
          <w:rFonts w:hint="eastAsia"/>
        </w:rPr>
        <w:t>1、</w:t>
      </w:r>
      <w:r>
        <w:t>工程名称：</w:t>
      </w:r>
      <w:r>
        <w:rPr>
          <w:rFonts w:hint="eastAsia" w:ascii="Times New Roman" w:hAnsi="Times New Roman" w:cs="Times New Roman"/>
          <w:lang w:val="en-US" w:eastAsia="zh-Hans"/>
        </w:rPr>
        <w:t>淮河入海水道二期工程盐城市境内河道工程施工17标</w:t>
      </w:r>
      <w:r>
        <w:rPr>
          <w:rFonts w:ascii="Times New Roman" w:hAnsi="Times New Roman" w:cs="Times New Roman"/>
        </w:rPr>
        <w:t>（桩号</w:t>
      </w:r>
      <w:r>
        <w:rPr>
          <w:rFonts w:hint="eastAsia" w:ascii="Times New Roman" w:hAnsi="Times New Roman" w:cs="Times New Roman"/>
          <w:lang w:val="en-US" w:eastAsia="zh-CN"/>
        </w:rPr>
        <w:t>146+5</w:t>
      </w:r>
      <w:r>
        <w:rPr>
          <w:rFonts w:ascii="Times New Roman" w:hAnsi="Times New Roman" w:cs="Times New Roman"/>
        </w:rPr>
        <w:t>00～1</w:t>
      </w:r>
      <w:r>
        <w:rPr>
          <w:rFonts w:hint="eastAsia" w:ascii="Times New Roman" w:hAnsi="Times New Roman" w:cs="Times New Roman"/>
          <w:lang w:val="en-US" w:eastAsia="zh-CN"/>
        </w:rPr>
        <w:t>50</w:t>
      </w:r>
      <w:r>
        <w:rPr>
          <w:rFonts w:ascii="Times New Roman" w:hAnsi="Times New Roman" w:cs="Times New Roman"/>
        </w:rPr>
        <w:t>+000）</w:t>
      </w:r>
    </w:p>
    <w:p>
      <w:pPr>
        <w:pStyle w:val="26"/>
        <w:spacing w:line="312" w:lineRule="auto"/>
        <w:ind w:firstLine="480"/>
      </w:pPr>
      <w:r>
        <w:rPr>
          <w:rFonts w:hint="eastAsia"/>
        </w:rPr>
        <w:t>2、</w:t>
      </w:r>
      <w:r>
        <w:t>供货期限：</w:t>
      </w:r>
      <w:r>
        <w:rPr>
          <w:rFonts w:hint="eastAsia"/>
        </w:rPr>
        <w:t>2026年5月26日</w:t>
      </w:r>
      <w:r>
        <w:t>至202</w:t>
      </w:r>
      <w:r>
        <w:rPr>
          <w:rFonts w:hint="eastAsia"/>
          <w:lang w:val="en-US" w:eastAsia="zh-CN"/>
        </w:rPr>
        <w:t>7</w:t>
      </w:r>
      <w:r>
        <w:t>年</w:t>
      </w:r>
      <w:r>
        <w:rPr>
          <w:rFonts w:hint="eastAsia"/>
          <w:lang w:val="en-US" w:eastAsia="zh-CN"/>
        </w:rPr>
        <w:t>5</w:t>
      </w:r>
      <w:r>
        <w:t>月</w:t>
      </w:r>
      <w:r>
        <w:rPr>
          <w:rFonts w:hint="eastAsia"/>
        </w:rPr>
        <w:t>31</w:t>
      </w:r>
      <w:r>
        <w:t>日供应</w:t>
      </w:r>
      <w:r>
        <w:rPr>
          <w:rFonts w:hint="eastAsia"/>
          <w:lang w:eastAsia="zh-CN"/>
        </w:rPr>
        <w:t>（</w:t>
      </w:r>
      <w:r>
        <w:rPr>
          <w:rFonts w:hint="eastAsia" w:ascii="Times New Roman" w:hAnsi="Times New Roman" w:cs="Times New Roman"/>
          <w:b/>
          <w:bCs/>
          <w:color w:val="FF0000"/>
          <w:lang w:val="en-US" w:eastAsia="zh-CN"/>
        </w:rPr>
        <w:t>供货高峰期为2026年</w:t>
      </w:r>
      <w:r>
        <w:rPr>
          <w:rFonts w:hint="eastAsia" w:cs="Times New Roman"/>
          <w:b/>
          <w:bCs/>
          <w:color w:val="FF0000"/>
          <w:lang w:val="en-US" w:eastAsia="zh-CN"/>
        </w:rPr>
        <w:t>5</w:t>
      </w:r>
      <w:r>
        <w:rPr>
          <w:rFonts w:hint="eastAsia" w:ascii="Times New Roman" w:hAnsi="Times New Roman" w:cs="Times New Roman"/>
          <w:b/>
          <w:bCs/>
          <w:color w:val="FF0000"/>
          <w:lang w:val="en-US" w:eastAsia="zh-CN"/>
        </w:rPr>
        <w:t>月</w:t>
      </w:r>
      <w:r>
        <w:rPr>
          <w:rFonts w:hint="eastAsia" w:cs="Times New Roman"/>
          <w:b/>
          <w:bCs/>
          <w:color w:val="FF0000"/>
          <w:lang w:val="en-US" w:eastAsia="zh-CN"/>
        </w:rPr>
        <w:t>26日</w:t>
      </w:r>
      <w:r>
        <w:rPr>
          <w:rFonts w:hint="eastAsia" w:ascii="Times New Roman" w:hAnsi="Times New Roman" w:cs="Times New Roman"/>
          <w:b/>
          <w:bCs/>
          <w:color w:val="FF0000"/>
          <w:lang w:val="en-US" w:eastAsia="zh-CN"/>
        </w:rPr>
        <w:t>-2026年</w:t>
      </w:r>
      <w:r>
        <w:rPr>
          <w:rFonts w:hint="eastAsia" w:cs="Times New Roman"/>
          <w:b/>
          <w:bCs/>
          <w:color w:val="FF0000"/>
          <w:lang w:val="en-US" w:eastAsia="zh-CN"/>
        </w:rPr>
        <w:t>6</w:t>
      </w:r>
      <w:r>
        <w:rPr>
          <w:rFonts w:hint="eastAsia" w:ascii="Times New Roman" w:hAnsi="Times New Roman" w:cs="Times New Roman"/>
          <w:b/>
          <w:bCs/>
          <w:color w:val="FF0000"/>
          <w:lang w:val="en-US" w:eastAsia="zh-CN"/>
        </w:rPr>
        <w:t>月</w:t>
      </w:r>
      <w:r>
        <w:rPr>
          <w:rFonts w:hint="eastAsia" w:cs="Times New Roman"/>
          <w:b/>
          <w:bCs/>
          <w:color w:val="FF0000"/>
          <w:lang w:val="en-US" w:eastAsia="zh-CN"/>
        </w:rPr>
        <w:t>15日需供货36000吨</w:t>
      </w:r>
      <w:r>
        <w:rPr>
          <w:rFonts w:hint="eastAsia" w:ascii="Times New Roman" w:hAnsi="Times New Roman" w:cs="Times New Roman"/>
          <w:b/>
          <w:bCs/>
          <w:color w:val="FF0000"/>
          <w:lang w:val="en-US" w:eastAsia="zh-CN"/>
        </w:rPr>
        <w:t>、2026年11月-2027年1月</w:t>
      </w:r>
      <w:r>
        <w:rPr>
          <w:rFonts w:hint="eastAsia" w:cs="Times New Roman"/>
          <w:b/>
          <w:bCs/>
          <w:color w:val="FF0000"/>
          <w:lang w:val="en-US" w:eastAsia="zh-CN"/>
        </w:rPr>
        <w:t>需供货44000吨）</w:t>
      </w:r>
      <w:r>
        <w:t>，</w:t>
      </w:r>
      <w:r>
        <w:rPr>
          <w:rFonts w:hint="eastAsia"/>
        </w:rPr>
        <w:t>具体供货开始和结束期限以项目部根据工期计划提前10天出具的“订货通知单”通知为准</w:t>
      </w:r>
      <w:r>
        <w:t>。</w:t>
      </w:r>
    </w:p>
    <w:p>
      <w:pPr>
        <w:pStyle w:val="26"/>
        <w:spacing w:line="312" w:lineRule="auto"/>
        <w:ind w:firstLine="480"/>
      </w:pPr>
      <w:r>
        <w:rPr>
          <w:rFonts w:hint="eastAsia"/>
        </w:rPr>
        <w:t>3、</w:t>
      </w:r>
      <w:r>
        <w:t>供货地点：</w:t>
      </w:r>
      <w:r>
        <w:rPr>
          <w:rFonts w:hint="eastAsia" w:ascii="Times New Roman" w:hAnsi="Times New Roman" w:cs="Times New Roman"/>
          <w:lang w:val="en-US" w:eastAsia="zh-Hans"/>
        </w:rPr>
        <w:t>淮河入海水道二期工程盐城市境内河道工程施工17标</w:t>
      </w:r>
      <w:r>
        <w:rPr>
          <w:rFonts w:ascii="Times New Roman" w:hAnsi="Times New Roman" w:cs="Times New Roman"/>
        </w:rPr>
        <w:t>（桩号</w:t>
      </w:r>
      <w:r>
        <w:rPr>
          <w:rFonts w:hint="eastAsia" w:ascii="Times New Roman" w:hAnsi="Times New Roman" w:cs="Times New Roman"/>
          <w:lang w:val="en-US" w:eastAsia="zh-CN"/>
        </w:rPr>
        <w:t>146+5</w:t>
      </w:r>
      <w:r>
        <w:rPr>
          <w:rFonts w:ascii="Times New Roman" w:hAnsi="Times New Roman" w:cs="Times New Roman"/>
        </w:rPr>
        <w:t>00～1</w:t>
      </w:r>
      <w:r>
        <w:rPr>
          <w:rFonts w:hint="eastAsia" w:ascii="Times New Roman" w:hAnsi="Times New Roman" w:cs="Times New Roman"/>
          <w:lang w:val="en-US" w:eastAsia="zh-CN"/>
        </w:rPr>
        <w:t>50</w:t>
      </w:r>
      <w:r>
        <w:rPr>
          <w:rFonts w:ascii="Times New Roman" w:hAnsi="Times New Roman" w:cs="Times New Roman"/>
        </w:rPr>
        <w:t>+000）</w:t>
      </w:r>
      <w:r>
        <w:rPr>
          <w:rFonts w:hint="eastAsia"/>
        </w:rPr>
        <w:t>施工现场。</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二、块石</w:t>
      </w:r>
      <w:r>
        <w:rPr>
          <w:rFonts w:ascii="Times New Roman" w:hAnsi="Times New Roman" w:cs="Times New Roman"/>
          <w:b/>
          <w:bCs/>
        </w:rPr>
        <w:t>供应要求：</w:t>
      </w:r>
    </w:p>
    <w:p>
      <w:pPr>
        <w:pStyle w:val="22"/>
        <w:spacing w:line="312" w:lineRule="auto"/>
        <w:ind w:firstLine="480"/>
        <w:rPr>
          <w:rFonts w:hint="eastAsia"/>
        </w:rPr>
      </w:pPr>
      <w:r>
        <w:t>1、甲方向乙方采购的</w:t>
      </w:r>
      <w:r>
        <w:rPr>
          <w:rFonts w:hint="eastAsia"/>
        </w:rPr>
        <w:t>块石</w:t>
      </w:r>
      <w:r>
        <w:t>具体品种、规格、数量及产地如下：</w:t>
      </w:r>
    </w:p>
    <w:tbl>
      <w:tblPr>
        <w:tblStyle w:val="14"/>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257"/>
        <w:gridCol w:w="1075"/>
        <w:gridCol w:w="835"/>
        <w:gridCol w:w="783"/>
        <w:gridCol w:w="1046"/>
        <w:gridCol w:w="882"/>
        <w:gridCol w:w="713"/>
        <w:gridCol w:w="984"/>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8" w:hRule="atLeast"/>
          <w:jc w:val="center"/>
        </w:trPr>
        <w:tc>
          <w:tcPr>
            <w:tcW w:w="736"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品名</w:t>
            </w:r>
          </w:p>
        </w:tc>
        <w:tc>
          <w:tcPr>
            <w:tcW w:w="1257"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规格</w:t>
            </w:r>
            <w:r>
              <w:rPr>
                <w:rFonts w:hint="eastAsia" w:ascii="Times New Roman" w:hAnsi="Times New Roman" w:cs="Times New Roman" w:eastAsiaTheme="minorEastAsia"/>
                <w:sz w:val="21"/>
                <w:szCs w:val="21"/>
              </w:rPr>
              <w:t>(mm)</w:t>
            </w:r>
          </w:p>
        </w:tc>
        <w:tc>
          <w:tcPr>
            <w:tcW w:w="1075"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产地</w:t>
            </w:r>
          </w:p>
        </w:tc>
        <w:tc>
          <w:tcPr>
            <w:tcW w:w="835" w:type="dxa"/>
            <w:tcBorders>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品牌</w:t>
            </w:r>
          </w:p>
        </w:tc>
        <w:tc>
          <w:tcPr>
            <w:tcW w:w="783" w:type="dxa"/>
            <w:tcBorders>
              <w:top w:val="single" w:color="auto" w:sz="4" w:space="0"/>
              <w:left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暂定</w:t>
            </w:r>
          </w:p>
          <w:p>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数量</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t</w:t>
            </w:r>
            <w:r>
              <w:rPr>
                <w:rFonts w:hint="eastAsia" w:ascii="Times New Roman" w:hAnsi="Times New Roman" w:cs="Times New Roman" w:eastAsiaTheme="minorEastAsia"/>
                <w:sz w:val="21"/>
                <w:szCs w:val="21"/>
              </w:rPr>
              <w:t>)</w:t>
            </w:r>
          </w:p>
        </w:tc>
        <w:tc>
          <w:tcPr>
            <w:tcW w:w="1046" w:type="dxa"/>
            <w:tcBorders>
              <w:top w:val="single" w:color="auto" w:sz="4" w:space="0"/>
              <w:left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不含税单价(</w:t>
            </w:r>
            <w:r>
              <w:rPr>
                <w:rFonts w:ascii="Times New Roman" w:hAnsi="Times New Roman" w:cs="Times New Roman" w:eastAsiaTheme="minorEastAsia"/>
                <w:sz w:val="21"/>
                <w:szCs w:val="21"/>
              </w:rPr>
              <w:t>元/吨</w:t>
            </w:r>
            <w:r>
              <w:rPr>
                <w:rFonts w:hint="eastAsia" w:ascii="Times New Roman" w:hAnsi="Times New Roman" w:cs="Times New Roman" w:eastAsiaTheme="minorEastAsia"/>
                <w:sz w:val="21"/>
                <w:szCs w:val="21"/>
              </w:rPr>
              <w:t>)</w:t>
            </w:r>
          </w:p>
        </w:tc>
        <w:tc>
          <w:tcPr>
            <w:tcW w:w="882" w:type="dxa"/>
            <w:tcBorders>
              <w:top w:val="single" w:color="auto" w:sz="4" w:space="0"/>
              <w:left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不含税</w:t>
            </w:r>
            <w:r>
              <w:rPr>
                <w:rFonts w:ascii="Times New Roman" w:hAnsi="Times New Roman" w:cs="Times New Roman" w:eastAsiaTheme="minorEastAsia"/>
                <w:sz w:val="21"/>
                <w:szCs w:val="21"/>
              </w:rPr>
              <w:t>合价</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元</w:t>
            </w:r>
            <w:r>
              <w:rPr>
                <w:rFonts w:hint="eastAsia" w:ascii="Times New Roman" w:hAnsi="Times New Roman" w:cs="Times New Roman" w:eastAsiaTheme="minorEastAsia"/>
                <w:sz w:val="21"/>
                <w:szCs w:val="21"/>
              </w:rPr>
              <w:t>)</w:t>
            </w:r>
          </w:p>
        </w:tc>
        <w:tc>
          <w:tcPr>
            <w:tcW w:w="713" w:type="dxa"/>
            <w:tcBorders>
              <w:top w:val="single" w:color="auto" w:sz="4" w:space="0"/>
              <w:left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增值税</w:t>
            </w:r>
          </w:p>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税率</w:t>
            </w:r>
          </w:p>
        </w:tc>
        <w:tc>
          <w:tcPr>
            <w:tcW w:w="984" w:type="dxa"/>
            <w:tcBorders>
              <w:top w:val="single" w:color="auto" w:sz="4" w:space="0"/>
              <w:left w:val="single" w:color="auto" w:sz="4" w:space="0"/>
              <w:bottom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税额</w:t>
            </w:r>
          </w:p>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元</w:t>
            </w:r>
            <w:r>
              <w:rPr>
                <w:rFonts w:hint="eastAsia" w:ascii="Times New Roman" w:hAnsi="Times New Roman" w:cs="Times New Roman" w:eastAsiaTheme="minorEastAsia"/>
                <w:sz w:val="21"/>
                <w:szCs w:val="21"/>
              </w:rPr>
              <w:t>)</w:t>
            </w:r>
          </w:p>
        </w:tc>
        <w:tc>
          <w:tcPr>
            <w:tcW w:w="1293" w:type="dxa"/>
            <w:tcBorders>
              <w:top w:val="single" w:color="auto" w:sz="4" w:space="0"/>
              <w:left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价税合计(</w:t>
            </w:r>
            <w:r>
              <w:rPr>
                <w:rFonts w:ascii="Times New Roman" w:hAnsi="Times New Roman" w:cs="Times New Roman" w:eastAsiaTheme="minorEastAsia"/>
                <w:sz w:val="21"/>
                <w:szCs w:val="21"/>
              </w:rPr>
              <w:t>元</w:t>
            </w:r>
            <w:r>
              <w:rPr>
                <w:rFonts w:hint="eastAsia" w:ascii="Times New Roman" w:hAnsi="Times New Roman" w:cs="Times New Roman"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736"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块石</w:t>
            </w:r>
          </w:p>
        </w:tc>
        <w:tc>
          <w:tcPr>
            <w:tcW w:w="1257"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140～300</w:t>
            </w:r>
          </w:p>
        </w:tc>
        <w:tc>
          <w:tcPr>
            <w:tcW w:w="1075"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835"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78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80</w:t>
            </w:r>
            <w:r>
              <w:rPr>
                <w:rFonts w:hint="eastAsia" w:ascii="Times New Roman" w:hAnsi="Times New Roman" w:cs="Times New Roman" w:eastAsiaTheme="minorEastAsia"/>
                <w:sz w:val="21"/>
                <w:szCs w:val="21"/>
              </w:rPr>
              <w:t>000</w:t>
            </w:r>
          </w:p>
        </w:tc>
        <w:tc>
          <w:tcPr>
            <w:tcW w:w="1046"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882"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71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p>
        </w:tc>
        <w:tc>
          <w:tcPr>
            <w:tcW w:w="984"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129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1993" w:type="dxa"/>
            <w:gridSpan w:val="2"/>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合计</w:t>
            </w:r>
          </w:p>
        </w:tc>
        <w:tc>
          <w:tcPr>
            <w:tcW w:w="1075"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835"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78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1046"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882"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71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984"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129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r>
    </w:tbl>
    <w:p>
      <w:pPr>
        <w:spacing w:line="312" w:lineRule="auto"/>
        <w:rPr>
          <w:rFonts w:hint="eastAsia"/>
          <w:lang w:eastAsia="zh-Hans"/>
        </w:rPr>
      </w:pPr>
      <w:r>
        <w:rPr>
          <w:rFonts w:hint="eastAsia"/>
          <w:lang w:eastAsia="zh-Hans"/>
        </w:rPr>
        <w:t>2、</w:t>
      </w:r>
      <w:r>
        <w:rPr>
          <w:rFonts w:hint="eastAsia"/>
        </w:rPr>
        <w:t>上述</w:t>
      </w:r>
      <w:r>
        <w:rPr>
          <w:rFonts w:hint="eastAsia"/>
          <w:lang w:eastAsia="zh-Hans"/>
        </w:rPr>
        <w:t>价格为送货到</w:t>
      </w:r>
      <w:r>
        <w:rPr>
          <w:rFonts w:hint="eastAsia"/>
        </w:rPr>
        <w:t>甲方</w:t>
      </w:r>
      <w:r>
        <w:rPr>
          <w:rFonts w:hint="eastAsia"/>
          <w:lang w:eastAsia="zh-Hans"/>
        </w:rPr>
        <w:t>工地指定地点并配合卸货后的价格，报价中均</w:t>
      </w:r>
      <w:r>
        <w:rPr>
          <w:rFonts w:hint="eastAsia"/>
        </w:rPr>
        <w:t>包含但不限于货款</w:t>
      </w:r>
      <w:r>
        <w:rPr>
          <w:rFonts w:hint="eastAsia"/>
          <w:lang w:eastAsia="zh-Hans"/>
        </w:rPr>
        <w:t>、运输及转驳费、停滞待卸货时间、利润、税费等一切费用，并包含货物装车（船）、运输及转驳、配合（指定）卸货等全过程中的安全、保险、措施等费用以及如发生安全事故导致的损失和赔偿费用，提供税率为</w:t>
      </w:r>
      <w:r>
        <w:rPr>
          <w:rFonts w:hint="eastAsia"/>
          <w:u w:val="single"/>
        </w:rPr>
        <w:t xml:space="preserve">   </w:t>
      </w:r>
      <w:r>
        <w:rPr>
          <w:rFonts w:hint="eastAsia"/>
          <w:lang w:eastAsia="zh-Hans"/>
        </w:rPr>
        <w:t>%的增值税专用发票（</w:t>
      </w:r>
      <w:r>
        <w:rPr>
          <w:rFonts w:ascii="Times New Roman" w:hAnsi="Times New Roman"/>
          <w:sz w:val="24"/>
          <w:szCs w:val="24"/>
        </w:rPr>
        <w:t>税金由</w:t>
      </w:r>
      <w:r>
        <w:rPr>
          <w:rFonts w:hint="eastAsia" w:ascii="Times New Roman" w:hAnsi="Times New Roman"/>
          <w:sz w:val="24"/>
          <w:szCs w:val="24"/>
        </w:rPr>
        <w:t>乙方</w:t>
      </w:r>
      <w:r>
        <w:rPr>
          <w:rFonts w:ascii="Times New Roman" w:hAnsi="Times New Roman"/>
          <w:sz w:val="24"/>
          <w:szCs w:val="24"/>
        </w:rPr>
        <w:t>承担，包含在</w:t>
      </w:r>
      <w:r>
        <w:rPr>
          <w:rFonts w:hint="eastAsia" w:ascii="Times New Roman" w:hAnsi="Times New Roman"/>
          <w:sz w:val="24"/>
          <w:szCs w:val="24"/>
          <w:lang w:eastAsia="zh-CN"/>
        </w:rPr>
        <w:t>块石</w:t>
      </w:r>
      <w:r>
        <w:rPr>
          <w:rFonts w:ascii="Times New Roman" w:hAnsi="Times New Roman"/>
          <w:sz w:val="24"/>
          <w:szCs w:val="24"/>
        </w:rPr>
        <w:t>价格中</w:t>
      </w:r>
      <w:r>
        <w:rPr>
          <w:rFonts w:hint="eastAsia"/>
          <w:lang w:eastAsia="zh-Hans"/>
        </w:rPr>
        <w:t>），中标人不得以任何理由额外索取费用。</w:t>
      </w:r>
      <w:r>
        <w:rPr>
          <w:rFonts w:hint="eastAsia"/>
          <w:b/>
          <w:bCs/>
          <w:lang w:eastAsia="zh-Hans"/>
        </w:rPr>
        <w:t>供应期及供应量内单价不随市场价格变动而调整</w:t>
      </w:r>
      <w:r>
        <w:rPr>
          <w:rFonts w:hint="eastAsia"/>
          <w:lang w:eastAsia="zh-Hans"/>
        </w:rPr>
        <w:t>。</w:t>
      </w:r>
    </w:p>
    <w:p>
      <w:pPr>
        <w:spacing w:line="312" w:lineRule="auto"/>
        <w:rPr>
          <w:rFonts w:hint="eastAsia"/>
        </w:rPr>
      </w:pPr>
      <w:r>
        <w:rPr>
          <w:rFonts w:hint="eastAsia"/>
        </w:rPr>
        <w:t>3、</w:t>
      </w:r>
      <w:r>
        <w:rPr>
          <w:rFonts w:ascii="Times New Roman" w:hAnsi="Times New Roman" w:cs="Times New Roman"/>
          <w:lang w:eastAsia="zh-Hans"/>
        </w:rPr>
        <w:t>结算数量以</w:t>
      </w:r>
      <w:r>
        <w:rPr>
          <w:rFonts w:hint="eastAsia" w:ascii="Times New Roman" w:hAnsi="Times New Roman" w:cs="Times New Roman"/>
          <w:lang w:eastAsia="zh-Hans"/>
        </w:rPr>
        <w:t>乙方提供供货单及</w:t>
      </w:r>
      <w:r>
        <w:rPr>
          <w:rFonts w:ascii="Times New Roman" w:hAnsi="Times New Roman" w:cs="Times New Roman"/>
          <w:lang w:eastAsia="zh-Hans"/>
        </w:rPr>
        <w:t>甲方在工地收货现场过磅后</w:t>
      </w:r>
      <w:r>
        <w:rPr>
          <w:rFonts w:ascii="Times New Roman" w:hAnsi="Times New Roman" w:cs="Times New Roman"/>
        </w:rPr>
        <w:t>数量为准</w:t>
      </w:r>
      <w:r>
        <w:rPr>
          <w:rFonts w:hint="eastAsia"/>
          <w:lang w:eastAsia="zh-Hans"/>
        </w:rPr>
        <w:t>。</w:t>
      </w:r>
    </w:p>
    <w:p>
      <w:pPr>
        <w:spacing w:line="312" w:lineRule="auto"/>
        <w:rPr>
          <w:rFonts w:hint="eastAsia"/>
          <w:lang w:eastAsia="zh-Hans"/>
        </w:rPr>
      </w:pPr>
      <w:r>
        <w:rPr>
          <w:rFonts w:hint="eastAsia"/>
        </w:rPr>
        <w:t>4、</w:t>
      </w:r>
      <w:r>
        <w:rPr>
          <w:lang w:eastAsia="zh-Hans"/>
        </w:rPr>
        <w:t>甲方开票信息和乙方收款信息如下：</w:t>
      </w:r>
    </w:p>
    <w:tbl>
      <w:tblPr>
        <w:tblStyle w:val="14"/>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tblHeader/>
          <w:jc w:val="center"/>
        </w:trPr>
        <w:tc>
          <w:tcPr>
            <w:tcW w:w="4804" w:type="dxa"/>
            <w:shd w:val="clear" w:color="auto" w:fill="auto"/>
            <w:vAlign w:val="center"/>
          </w:tcPr>
          <w:p>
            <w:pPr>
              <w:spacing w:line="280" w:lineRule="exact"/>
              <w:jc w:val="center"/>
              <w:rPr>
                <w:rFonts w:hint="eastAsia"/>
              </w:rPr>
            </w:pPr>
            <w:r>
              <w:t>甲方开票信息</w:t>
            </w:r>
          </w:p>
        </w:tc>
        <w:tc>
          <w:tcPr>
            <w:tcW w:w="4805" w:type="dxa"/>
            <w:shd w:val="clear" w:color="auto" w:fill="auto"/>
            <w:vAlign w:val="center"/>
          </w:tcPr>
          <w:p>
            <w:pPr>
              <w:spacing w:line="280" w:lineRule="exact"/>
              <w:jc w:val="center"/>
              <w:rPr>
                <w:rFonts w:hint="eastAsia"/>
              </w:rPr>
            </w:pPr>
            <w: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甲方：</w:t>
            </w:r>
          </w:p>
        </w:tc>
        <w:tc>
          <w:tcPr>
            <w:tcW w:w="4805" w:type="dxa"/>
            <w:shd w:val="clear" w:color="auto" w:fill="auto"/>
            <w:vAlign w:val="center"/>
          </w:tcPr>
          <w:p>
            <w:pPr>
              <w:spacing w:line="280" w:lineRule="exact"/>
              <w:ind w:left="-28" w:firstLine="26" w:firstLineChars="11"/>
              <w:rPr>
                <w:rFonts w:hint="eastAsia"/>
              </w:rPr>
            </w:pPr>
            <w: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纳税人识别号：</w:t>
            </w:r>
          </w:p>
        </w:tc>
        <w:tc>
          <w:tcPr>
            <w:tcW w:w="4805" w:type="dxa"/>
            <w:shd w:val="clear" w:color="auto" w:fill="auto"/>
            <w:vAlign w:val="center"/>
          </w:tcPr>
          <w:p>
            <w:pPr>
              <w:spacing w:line="280" w:lineRule="exact"/>
              <w:ind w:left="-28" w:firstLine="26" w:firstLineChars="11"/>
              <w:rPr>
                <w:rFonts w:hint="eastAsia"/>
              </w:rPr>
            </w:pPr>
            <w: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地址：</w:t>
            </w:r>
          </w:p>
        </w:tc>
        <w:tc>
          <w:tcPr>
            <w:tcW w:w="4805" w:type="dxa"/>
            <w:shd w:val="clear" w:color="auto" w:fill="auto"/>
            <w:vAlign w:val="center"/>
          </w:tcPr>
          <w:p>
            <w:pPr>
              <w:spacing w:line="280" w:lineRule="exact"/>
              <w:ind w:left="-28" w:firstLine="26" w:firstLineChars="11"/>
              <w:rPr>
                <w:rFonts w:hint="eastAsia"/>
              </w:rPr>
            </w:pPr>
            <w: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电话：</w:t>
            </w:r>
          </w:p>
        </w:tc>
        <w:tc>
          <w:tcPr>
            <w:tcW w:w="4805" w:type="dxa"/>
            <w:shd w:val="clear" w:color="auto" w:fill="auto"/>
            <w:vAlign w:val="center"/>
          </w:tcPr>
          <w:p>
            <w:pPr>
              <w:spacing w:line="280" w:lineRule="exact"/>
              <w:ind w:left="-28" w:firstLine="26" w:firstLineChars="11"/>
              <w:rPr>
                <w:rFonts w:hint="eastAsia"/>
              </w:rPr>
            </w:pPr>
            <w: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开户银行：</w:t>
            </w:r>
          </w:p>
        </w:tc>
        <w:tc>
          <w:tcPr>
            <w:tcW w:w="4805" w:type="dxa"/>
            <w:shd w:val="clear" w:color="auto" w:fill="auto"/>
            <w:vAlign w:val="center"/>
          </w:tcPr>
          <w:p>
            <w:pPr>
              <w:spacing w:line="280" w:lineRule="exact"/>
              <w:ind w:left="-28" w:firstLine="26" w:firstLineChars="11"/>
              <w:rPr>
                <w:rFonts w:hint="eastAsia"/>
              </w:rPr>
            </w:pPr>
            <w: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银行账号：</w:t>
            </w:r>
          </w:p>
        </w:tc>
        <w:tc>
          <w:tcPr>
            <w:tcW w:w="4805" w:type="dxa"/>
            <w:shd w:val="clear" w:color="auto" w:fill="auto"/>
            <w:vAlign w:val="center"/>
          </w:tcPr>
          <w:p>
            <w:pPr>
              <w:spacing w:line="280" w:lineRule="exact"/>
              <w:ind w:left="-28" w:firstLine="26" w:firstLineChars="11"/>
              <w:rPr>
                <w:rFonts w:hint="eastAsia"/>
              </w:rPr>
            </w:pPr>
            <w:r>
              <w:t>银行账号：</w:t>
            </w:r>
          </w:p>
        </w:tc>
      </w:tr>
    </w:tbl>
    <w:p>
      <w:pPr>
        <w:spacing w:line="312" w:lineRule="auto"/>
        <w:ind w:left="-28" w:firstLine="482"/>
        <w:jc w:val="left"/>
        <w:rPr>
          <w:rFonts w:ascii="Times New Roman" w:hAnsi="Times New Roman" w:cs="Times New Roman"/>
          <w:b/>
          <w:bCs/>
        </w:rPr>
      </w:pPr>
      <w:r>
        <w:rPr>
          <w:rFonts w:ascii="Times New Roman" w:hAnsi="Times New Roman" w:cs="Times New Roman"/>
          <w:b/>
          <w:bCs/>
        </w:rPr>
        <w:t>三、质量与技术要求：</w:t>
      </w:r>
    </w:p>
    <w:p>
      <w:pPr>
        <w:spacing w:line="312" w:lineRule="auto"/>
        <w:rPr>
          <w:rFonts w:hint="eastAsia"/>
          <w:shd w:val="clear" w:color="auto" w:fill="FFFFFF"/>
        </w:rPr>
      </w:pPr>
      <w:r>
        <w:rPr>
          <w:rFonts w:hint="eastAsia" w:ascii="Times New Roman" w:hAnsi="Times New Roman"/>
        </w:rPr>
        <w:t>1、</w:t>
      </w:r>
      <w:r>
        <w:rPr>
          <w:rFonts w:hint="default" w:ascii="Times New Roman" w:hAnsi="Times New Roman" w:cs="Times New Roman"/>
          <w:sz w:val="24"/>
          <w:szCs w:val="24"/>
          <w:lang w:eastAsia="zh-Hans"/>
        </w:rPr>
        <w:t>块石必须符合石质坚硬，尺寸合适，无风化、裂缝，且具有较好抗蚀性的石材，不允许使用薄片、条状、尖角等形状的块石，亦不能使用风化石、泥岩等用作抛填石料。格宾石笼块石粒径0.15m~0.40m，湿抗压强度大于30Mpa，软化系数大于0.7，密度不小于2.4t/</w:t>
      </w:r>
      <w:r>
        <w:rPr>
          <w:rFonts w:hint="default" w:ascii="Times New Roman" w:hAnsi="Times New Roman" w:cs="Times New Roman"/>
          <w:lang w:eastAsia="zh-Hans"/>
        </w:rPr>
        <w:t>m³</w:t>
      </w:r>
      <w:r>
        <w:rPr>
          <w:rFonts w:hint="default" w:ascii="Times New Roman" w:hAnsi="Times New Roman" w:cs="Times New Roman"/>
          <w:sz w:val="24"/>
          <w:szCs w:val="24"/>
          <w:lang w:eastAsia="zh-Hans"/>
        </w:rPr>
        <w:t>，不允许使用薄片、条状、尖角等形状的块石。填充料宜进行级配实验分析，级配应合理。</w:t>
      </w:r>
    </w:p>
    <w:p>
      <w:pPr>
        <w:spacing w:line="312" w:lineRule="auto"/>
        <w:rPr>
          <w:rFonts w:hint="eastAsia"/>
          <w:szCs w:val="21"/>
          <w:lang w:eastAsia="zh-Hans"/>
        </w:rPr>
      </w:pPr>
      <w:r>
        <w:rPr>
          <w:rFonts w:hint="eastAsia"/>
        </w:rPr>
        <w:t>2、</w:t>
      </w:r>
      <w:r>
        <w:rPr>
          <w:rFonts w:hint="eastAsia"/>
          <w:lang w:eastAsia="zh-Hans"/>
        </w:rPr>
        <w:t>供应过程中严格要求</w:t>
      </w:r>
      <w:r>
        <w:rPr>
          <w:rFonts w:hint="eastAsia"/>
        </w:rPr>
        <w:t>块石质量</w:t>
      </w:r>
      <w:r>
        <w:rPr>
          <w:rFonts w:hint="eastAsia"/>
          <w:lang w:eastAsia="zh-Hans"/>
        </w:rPr>
        <w:t>，如若供应过程中项目部查出供应商</w:t>
      </w:r>
      <w:r>
        <w:rPr>
          <w:rFonts w:hint="eastAsia"/>
        </w:rPr>
        <w:t>以次充好的，甲方</w:t>
      </w:r>
      <w:r>
        <w:rPr>
          <w:rFonts w:hint="eastAsia"/>
          <w:lang w:eastAsia="zh-Hans"/>
        </w:rPr>
        <w:t>将</w:t>
      </w:r>
      <w:r>
        <w:rPr>
          <w:rFonts w:hint="eastAsia"/>
        </w:rPr>
        <w:t>没收其履约保证金</w:t>
      </w:r>
      <w:r>
        <w:rPr>
          <w:rFonts w:hint="eastAsia"/>
          <w:lang w:eastAsia="zh-Hans"/>
        </w:rPr>
        <w:t>。</w:t>
      </w:r>
      <w:r>
        <w:rPr>
          <w:rFonts w:hint="eastAsia"/>
          <w:b/>
          <w:bCs/>
        </w:rPr>
        <w:t>同时乙方需甲方支付违约金伍万元</w:t>
      </w:r>
      <w:r>
        <w:rPr>
          <w:b/>
          <w:bCs/>
        </w:rPr>
        <w:t>。</w:t>
      </w:r>
      <w:r>
        <w:rPr>
          <w:rFonts w:hint="eastAsia"/>
          <w:lang w:eastAsia="zh-Hans"/>
        </w:rPr>
        <w:t>造成项目部相关损失的（</w:t>
      </w:r>
      <w:r>
        <w:rPr>
          <w:rFonts w:hint="eastAsia" w:ascii="宋体" w:hAnsi="宋体" w:cs="宋体"/>
          <w:sz w:val="24"/>
          <w:szCs w:val="24"/>
        </w:rPr>
        <w:t>包括但不限于工程产品报废、返工返修、工期延误、鉴定费、律师费、诉讼费、差旅费</w:t>
      </w:r>
      <w:r>
        <w:rPr>
          <w:rFonts w:ascii="宋体" w:hAnsi="宋体" w:cs="宋体"/>
          <w:sz w:val="24"/>
          <w:szCs w:val="24"/>
        </w:rPr>
        <w:t>等费用和损失</w:t>
      </w:r>
      <w:r>
        <w:rPr>
          <w:rFonts w:hint="eastAsia"/>
          <w:lang w:eastAsia="zh-Hans"/>
        </w:rPr>
        <w:t>），负责赔偿相关损失，并承担相关责任。</w:t>
      </w:r>
    </w:p>
    <w:p>
      <w:pPr>
        <w:spacing w:line="312" w:lineRule="auto"/>
        <w:ind w:left="-28" w:firstLine="482"/>
        <w:jc w:val="left"/>
        <w:rPr>
          <w:rFonts w:ascii="Times New Roman" w:hAnsi="Times New Roman" w:cs="Times New Roman"/>
          <w:b/>
          <w:bCs/>
        </w:rPr>
      </w:pPr>
      <w:r>
        <w:rPr>
          <w:rFonts w:ascii="Times New Roman" w:hAnsi="Times New Roman" w:cs="Times New Roman"/>
          <w:b/>
          <w:bCs/>
        </w:rPr>
        <w:t>四、</w:t>
      </w:r>
      <w:r>
        <w:rPr>
          <w:rFonts w:hint="eastAsia" w:ascii="Times New Roman" w:hAnsi="Times New Roman" w:cs="Times New Roman"/>
          <w:b/>
          <w:bCs/>
        </w:rPr>
        <w:t>块石</w:t>
      </w:r>
      <w:r>
        <w:rPr>
          <w:rFonts w:ascii="Times New Roman" w:hAnsi="Times New Roman" w:cs="Times New Roman"/>
          <w:b/>
          <w:bCs/>
        </w:rPr>
        <w:t>交付</w:t>
      </w:r>
    </w:p>
    <w:p>
      <w:pPr>
        <w:spacing w:line="312" w:lineRule="auto"/>
        <w:rPr>
          <w:rFonts w:hint="eastAsia"/>
        </w:rPr>
      </w:pPr>
      <w:r>
        <w:t>1、甲方在要货前提前</w:t>
      </w:r>
      <w:r>
        <w:rPr>
          <w:rFonts w:hint="eastAsia"/>
        </w:rPr>
        <w:t>10</w:t>
      </w:r>
      <w:r>
        <w:t>天向乙方预报所需规格、数量等需求计划；乙方需在甲方提供计划日内供货，如乙方未能及时供货，乙方需赔偿甲方损失。</w:t>
      </w:r>
      <w:r>
        <w:rPr>
          <w:rFonts w:hint="eastAsia"/>
        </w:rPr>
        <w:t>供应商每次支付违约金</w:t>
      </w:r>
      <w:r>
        <w:t>5000元</w:t>
      </w:r>
      <w:r>
        <w:rPr>
          <w:lang w:eastAsia="zh-Hans"/>
        </w:rPr>
        <w:t>。</w:t>
      </w:r>
    </w:p>
    <w:p>
      <w:pPr>
        <w:spacing w:line="312" w:lineRule="auto"/>
        <w:rPr>
          <w:rFonts w:hint="eastAsia"/>
        </w:rPr>
      </w:pPr>
      <w:r>
        <w:t>2、乙方所供</w:t>
      </w:r>
      <w:r>
        <w:rPr>
          <w:rFonts w:hint="eastAsia"/>
        </w:rPr>
        <w:t>块石</w:t>
      </w:r>
      <w:r>
        <w:t>不能满足甲方施工现场需求时，甲方有权要求退货。如因质量问题或供应商的其它原因，造成的退、换货时，</w:t>
      </w:r>
      <w:r>
        <w:rPr>
          <w:rFonts w:hint="eastAsia"/>
        </w:rPr>
        <w:t>对本工程造成的损失有乙方负责</w:t>
      </w:r>
      <w:r>
        <w:t>。</w:t>
      </w:r>
    </w:p>
    <w:p>
      <w:pPr>
        <w:spacing w:line="312" w:lineRule="auto"/>
        <w:rPr>
          <w:rFonts w:hint="eastAsia"/>
        </w:rPr>
      </w:pPr>
      <w:r>
        <w:t>4、甲方有权对合同中约定的材料数量进行调整。</w:t>
      </w:r>
    </w:p>
    <w:p>
      <w:pPr>
        <w:spacing w:line="312" w:lineRule="auto"/>
        <w:rPr>
          <w:rFonts w:hint="eastAsia"/>
        </w:rPr>
      </w:pPr>
      <w:r>
        <w:t>5、乙方将</w:t>
      </w:r>
      <w:r>
        <w:rPr>
          <w:rFonts w:hint="eastAsia"/>
        </w:rPr>
        <w:t>块石</w:t>
      </w:r>
      <w:r>
        <w:t>送到甲方工地指定地点。</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五</w:t>
      </w:r>
      <w:r>
        <w:rPr>
          <w:rFonts w:ascii="Times New Roman" w:hAnsi="Times New Roman" w:cs="Times New Roman"/>
          <w:b/>
          <w:bCs/>
        </w:rPr>
        <w:t>、</w:t>
      </w:r>
      <w:r>
        <w:rPr>
          <w:rFonts w:hint="eastAsia" w:ascii="Times New Roman" w:hAnsi="Times New Roman" w:cs="Times New Roman"/>
          <w:b/>
          <w:bCs/>
        </w:rPr>
        <w:t>块石</w:t>
      </w:r>
      <w:r>
        <w:rPr>
          <w:rFonts w:ascii="Times New Roman" w:hAnsi="Times New Roman" w:cs="Times New Roman"/>
          <w:b/>
          <w:bCs/>
        </w:rPr>
        <w:t>检验</w:t>
      </w:r>
    </w:p>
    <w:p>
      <w:pPr>
        <w:spacing w:line="312" w:lineRule="auto"/>
        <w:rPr>
          <w:rFonts w:hint="eastAsia"/>
        </w:rPr>
      </w:pPr>
      <w:r>
        <w:t>1、</w:t>
      </w:r>
      <w:r>
        <w:rPr>
          <w:rFonts w:hint="eastAsia"/>
        </w:rPr>
        <w:t>质量验收：块石采用事前封样，供料必须与封样样品一致，甲方指派专人对所供块石的外观质量、规格进行验收，如出现外观质量及规格不符封样样品时，甲方有权拒收。块石性能必须通过甲方检验或试验，达到该工程的质量要求。如出现质量问题，由乙方负责退场，费用自理。因供货质量问题造成的一切损失由乙方承担。</w:t>
      </w:r>
    </w:p>
    <w:p>
      <w:pPr>
        <w:spacing w:line="312" w:lineRule="auto"/>
        <w:rPr>
          <w:rFonts w:hint="eastAsia"/>
          <w:lang w:eastAsia="zh-Hans"/>
        </w:rPr>
      </w:pPr>
      <w:r>
        <w:rPr>
          <w:rFonts w:hint="eastAsia"/>
          <w:lang w:val="en-US" w:eastAsia="zh-CN"/>
        </w:rPr>
        <w:t>2</w:t>
      </w:r>
      <w:r>
        <w:rPr>
          <w:rFonts w:hint="eastAsia"/>
        </w:rPr>
        <w:t>、</w:t>
      </w:r>
      <w:r>
        <w:rPr>
          <w:rFonts w:hint="eastAsia" w:ascii="Times New Roman" w:hAnsi="Times New Roman" w:cs="Times New Roman"/>
          <w:lang w:eastAsia="zh-Hans"/>
        </w:rPr>
        <w:t>供货单位</w:t>
      </w:r>
      <w:r>
        <w:rPr>
          <w:rFonts w:hint="eastAsia" w:ascii="Times New Roman" w:hAnsi="Times New Roman" w:cs="Times New Roman"/>
          <w:lang w:val="en-US" w:eastAsia="zh-CN"/>
        </w:rPr>
        <w:t>每批货需</w:t>
      </w:r>
      <w:r>
        <w:rPr>
          <w:rFonts w:hint="eastAsia" w:ascii="Times New Roman" w:hAnsi="Times New Roman" w:cs="Times New Roman"/>
          <w:lang w:eastAsia="zh-Hans"/>
        </w:rPr>
        <w:t>提供磅单，项目部随机</w:t>
      </w:r>
      <w:r>
        <w:rPr>
          <w:rFonts w:hint="eastAsia" w:ascii="Times New Roman" w:hAnsi="Times New Roman" w:cs="Times New Roman"/>
          <w:lang w:val="en-US" w:eastAsia="zh-CN"/>
        </w:rPr>
        <w:t>抽检过</w:t>
      </w:r>
      <w:r>
        <w:rPr>
          <w:rFonts w:hint="eastAsia" w:ascii="Times New Roman" w:hAnsi="Times New Roman" w:cs="Times New Roman"/>
          <w:lang w:eastAsia="zh-Hans"/>
        </w:rPr>
        <w:t>磅</w:t>
      </w:r>
      <w:r>
        <w:rPr>
          <w:rFonts w:hint="eastAsia" w:ascii="Times New Roman" w:hAnsi="Times New Roman" w:cs="Times New Roman"/>
          <w:lang w:eastAsia="zh-CN"/>
        </w:rPr>
        <w:t>（</w:t>
      </w:r>
      <w:r>
        <w:rPr>
          <w:rFonts w:hint="eastAsia" w:ascii="Times New Roman" w:hAnsi="Times New Roman" w:cs="Times New Roman"/>
          <w:lang w:val="en-US" w:eastAsia="zh-CN"/>
        </w:rPr>
        <w:t>不少于一次</w:t>
      </w:r>
      <w:r>
        <w:rPr>
          <w:rFonts w:hint="eastAsia" w:ascii="Times New Roman" w:hAnsi="Times New Roman" w:cs="Times New Roman"/>
          <w:lang w:eastAsia="zh-CN"/>
        </w:rPr>
        <w:t>）</w:t>
      </w:r>
      <w:r>
        <w:rPr>
          <w:rFonts w:hint="eastAsia" w:ascii="Times New Roman" w:hAnsi="Times New Roman" w:cs="Times New Roman"/>
          <w:lang w:eastAsia="zh-Hans"/>
        </w:rPr>
        <w:t>，</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误差在</w:t>
      </w:r>
      <w:r>
        <w:rPr>
          <w:rFonts w:hint="eastAsia" w:ascii="Times New Roman" w:hAnsi="Times New Roman" w:cs="Times New Roman"/>
          <w:lang w:eastAsia="zh-CN"/>
        </w:rPr>
        <w:t>3‰</w:t>
      </w:r>
      <w:r>
        <w:rPr>
          <w:rFonts w:hint="eastAsia" w:ascii="Times New Roman" w:hAnsi="Times New Roman" w:cs="Times New Roman"/>
          <w:lang w:eastAsia="zh-Hans"/>
        </w:rPr>
        <w:t>以内不做调整，</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误差超过</w:t>
      </w:r>
      <w:r>
        <w:rPr>
          <w:rFonts w:hint="eastAsia" w:ascii="Times New Roman" w:hAnsi="Times New Roman" w:cs="Times New Roman"/>
          <w:lang w:eastAsia="zh-CN"/>
        </w:rPr>
        <w:t>3‰，</w:t>
      </w:r>
      <w:r>
        <w:rPr>
          <w:rFonts w:hint="eastAsia" w:ascii="Times New Roman" w:hAnsi="Times New Roman" w:cs="Times New Roman"/>
          <w:lang w:eastAsia="zh-Hans"/>
        </w:rPr>
        <w:t>则对该批货物</w:t>
      </w:r>
      <w:r>
        <w:rPr>
          <w:rFonts w:hint="eastAsia" w:ascii="Times New Roman" w:hAnsi="Times New Roman" w:cs="Times New Roman"/>
          <w:lang w:val="en-US" w:eastAsia="zh-CN"/>
        </w:rPr>
        <w:t>重</w:t>
      </w:r>
      <w:r>
        <w:rPr>
          <w:rFonts w:hint="eastAsia" w:ascii="Times New Roman" w:hAnsi="Times New Roman" w:cs="Times New Roman"/>
          <w:lang w:eastAsia="zh-Hans"/>
        </w:rPr>
        <w:t>量统一按照</w:t>
      </w:r>
      <w:r>
        <w:rPr>
          <w:rFonts w:hint="eastAsia" w:ascii="Times New Roman" w:hAnsi="Times New Roman" w:cs="Times New Roman"/>
          <w:lang w:val="en-US" w:eastAsia="zh-CN"/>
        </w:rPr>
        <w:t>抽检短少的最大比例</w:t>
      </w:r>
      <w:r>
        <w:rPr>
          <w:rFonts w:hint="eastAsia" w:ascii="Times New Roman" w:hAnsi="Times New Roman" w:cs="Times New Roman"/>
          <w:lang w:eastAsia="zh-Hans"/>
        </w:rPr>
        <w:t>进行全部扣除</w:t>
      </w:r>
      <w:r>
        <w:rPr>
          <w:rFonts w:hint="eastAsia"/>
          <w:lang w:eastAsia="zh-Hans"/>
        </w:rPr>
        <w:t>。</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六</w:t>
      </w:r>
      <w:r>
        <w:rPr>
          <w:rFonts w:ascii="Times New Roman" w:hAnsi="Times New Roman" w:cs="Times New Roman"/>
          <w:b/>
          <w:bCs/>
        </w:rPr>
        <w:t>、</w:t>
      </w:r>
      <w:r>
        <w:rPr>
          <w:rFonts w:hint="eastAsia" w:ascii="Times New Roman" w:hAnsi="Times New Roman" w:cs="Times New Roman"/>
          <w:b/>
          <w:bCs/>
        </w:rPr>
        <w:t>块石</w:t>
      </w:r>
      <w:r>
        <w:rPr>
          <w:rFonts w:ascii="Times New Roman" w:hAnsi="Times New Roman" w:cs="Times New Roman"/>
          <w:b/>
          <w:bCs/>
        </w:rPr>
        <w:t>结算和付款方式</w:t>
      </w:r>
    </w:p>
    <w:p>
      <w:pPr>
        <w:spacing w:line="312" w:lineRule="auto"/>
        <w:rPr>
          <w:rFonts w:hint="eastAsia"/>
          <w:u w:val="single"/>
        </w:rPr>
      </w:pPr>
      <w:r>
        <w:t>1、结算依据：</w:t>
      </w:r>
    </w:p>
    <w:p>
      <w:pPr>
        <w:spacing w:line="312" w:lineRule="auto"/>
        <w:rPr>
          <w:rFonts w:hint="eastAsia"/>
        </w:rPr>
      </w:pPr>
      <w:r>
        <w:t>以甲方指派的</w:t>
      </w:r>
      <w:r>
        <w:rPr>
          <w:rFonts w:hint="eastAsia"/>
          <w:u w:val="single"/>
        </w:rPr>
        <w:t xml:space="preserve">     </w:t>
      </w:r>
      <w:r>
        <w:t>在工地现场经过磅后签认的</w:t>
      </w:r>
      <w:r>
        <w:rPr>
          <w:rFonts w:hint="eastAsia"/>
        </w:rPr>
        <w:t>块石</w:t>
      </w:r>
      <w:r>
        <w:t>送货签收单数量结合相应单价作为结算依据，非有效授权人签署的签收单一律无效；如上述指定人员发生变动，甲方将另行书面通知乙方。</w:t>
      </w:r>
    </w:p>
    <w:p>
      <w:pPr>
        <w:spacing w:line="312" w:lineRule="auto"/>
        <w:rPr>
          <w:rFonts w:hint="eastAsia"/>
          <w:lang w:eastAsia="zh-Hans"/>
        </w:rPr>
      </w:pPr>
      <w:r>
        <w:rPr>
          <w:rFonts w:ascii="Times New Roman" w:hAnsi="Times New Roman"/>
          <w:sz w:val="24"/>
          <w:szCs w:val="24"/>
          <w:lang w:eastAsia="zh-Hans"/>
        </w:rPr>
        <w:t>结算数量以</w:t>
      </w:r>
      <w:r>
        <w:rPr>
          <w:rFonts w:hint="eastAsia" w:ascii="Times New Roman" w:hAnsi="Times New Roman"/>
          <w:sz w:val="24"/>
          <w:szCs w:val="24"/>
          <w:lang w:val="en-US" w:eastAsia="zh-CN"/>
        </w:rPr>
        <w:t>甲方</w:t>
      </w:r>
      <w:r>
        <w:rPr>
          <w:rFonts w:ascii="Times New Roman" w:hAnsi="Times New Roman"/>
          <w:sz w:val="24"/>
          <w:szCs w:val="24"/>
          <w:lang w:eastAsia="zh-Hans"/>
        </w:rPr>
        <w:t>在工地收货现场过磅后实际收到的</w:t>
      </w:r>
      <w:r>
        <w:rPr>
          <w:rFonts w:hint="eastAsia" w:ascii="Times New Roman" w:hAnsi="Times New Roman"/>
          <w:sz w:val="24"/>
          <w:szCs w:val="24"/>
          <w:lang w:val="en-US" w:eastAsia="zh-CN"/>
        </w:rPr>
        <w:t>合格</w:t>
      </w:r>
      <w:r>
        <w:rPr>
          <w:rFonts w:ascii="Times New Roman" w:hAnsi="Times New Roman"/>
          <w:sz w:val="24"/>
          <w:szCs w:val="24"/>
          <w:lang w:eastAsia="zh-Hans"/>
        </w:rPr>
        <w:t>数量</w:t>
      </w:r>
      <w:r>
        <w:rPr>
          <w:rFonts w:ascii="Times New Roman" w:hAnsi="Times New Roman"/>
          <w:sz w:val="24"/>
          <w:szCs w:val="24"/>
        </w:rPr>
        <w:t>为准</w:t>
      </w:r>
    </w:p>
    <w:p>
      <w:pPr>
        <w:spacing w:line="312" w:lineRule="auto"/>
        <w:rPr>
          <w:rFonts w:hint="eastAsia"/>
        </w:rPr>
      </w:pPr>
      <w:r>
        <w:t>（提醒：当项目部在工地现场授权签收的人员发生变动时，应书面通知乙方，明确变动时间、人员名单及相应的权限，并让乙方签字确认后存档。）</w:t>
      </w:r>
    </w:p>
    <w:p>
      <w:pPr>
        <w:spacing w:line="312" w:lineRule="auto"/>
        <w:rPr>
          <w:rFonts w:hint="eastAsia"/>
          <w:lang w:eastAsia="zh-Hans"/>
        </w:rPr>
      </w:pPr>
      <w:r>
        <w:rPr>
          <w:rFonts w:hint="eastAsia"/>
          <w:lang w:eastAsia="zh-Hans"/>
        </w:rPr>
        <w:t>2</w:t>
      </w:r>
      <w:r>
        <w:rPr>
          <w:rFonts w:hint="eastAsia"/>
          <w:lang w:eastAsia="zh-CN"/>
        </w:rPr>
        <w:t>、</w:t>
      </w:r>
      <w:r>
        <w:rPr>
          <w:rFonts w:hint="eastAsia"/>
          <w:lang w:eastAsia="zh-Hans"/>
        </w:rPr>
        <w:t>结算方式</w:t>
      </w:r>
    </w:p>
    <w:p>
      <w:pPr>
        <w:spacing w:line="312" w:lineRule="auto"/>
        <w:rPr>
          <w:rFonts w:hint="eastAsia"/>
          <w:lang w:eastAsia="zh-Hans"/>
        </w:rPr>
      </w:pPr>
      <w:r>
        <w:rPr>
          <w:rFonts w:hint="eastAsia"/>
          <w:lang w:eastAsia="zh-Hans"/>
        </w:rPr>
        <w:t>按月结算，供货方在每月</w:t>
      </w:r>
      <w:r>
        <w:rPr>
          <w:rFonts w:hint="eastAsia"/>
        </w:rPr>
        <w:t>25</w:t>
      </w:r>
      <w:r>
        <w:rPr>
          <w:rFonts w:hint="eastAsia"/>
          <w:lang w:eastAsia="zh-Hans"/>
        </w:rPr>
        <w:t>日前与招标人项目部核对上月</w:t>
      </w:r>
      <w:r>
        <w:rPr>
          <w:rFonts w:hint="eastAsia"/>
          <w:lang w:val="en-US" w:eastAsia="zh-CN"/>
        </w:rPr>
        <w:t>结算截止日后</w:t>
      </w:r>
      <w:r>
        <w:rPr>
          <w:rFonts w:hint="eastAsia"/>
          <w:lang w:eastAsia="zh-Hans"/>
        </w:rPr>
        <w:t>所供</w:t>
      </w:r>
      <w:r>
        <w:rPr>
          <w:rFonts w:hint="eastAsia"/>
        </w:rPr>
        <w:t>块石</w:t>
      </w:r>
      <w:r>
        <w:rPr>
          <w:rFonts w:hint="eastAsia"/>
          <w:lang w:eastAsia="zh-Hans"/>
        </w:rPr>
        <w:t>数量及货款，</w:t>
      </w:r>
      <w:r>
        <w:rPr>
          <w:rFonts w:hint="eastAsia"/>
        </w:rPr>
        <w:t>对账后次月10日前</w:t>
      </w:r>
      <w:r>
        <w:rPr>
          <w:rFonts w:hint="eastAsia"/>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pacing w:line="312" w:lineRule="auto"/>
        <w:rPr>
          <w:rFonts w:hint="eastAsia"/>
          <w:lang w:eastAsia="zh-Hans"/>
        </w:rPr>
      </w:pPr>
      <w:r>
        <w:rPr>
          <w:rFonts w:hint="eastAsia"/>
        </w:rPr>
        <w:t>乙方</w:t>
      </w:r>
      <w:r>
        <w:rPr>
          <w:rFonts w:hint="eastAsia"/>
          <w:lang w:eastAsia="zh-Hans"/>
        </w:rPr>
        <w:t>同时承诺：每个结算期内的所有</w:t>
      </w:r>
      <w:r>
        <w:rPr>
          <w:rFonts w:hint="eastAsia"/>
        </w:rPr>
        <w:t>块石</w:t>
      </w:r>
      <w:r>
        <w:rPr>
          <w:rFonts w:hint="eastAsia"/>
          <w:lang w:eastAsia="zh-Hans"/>
        </w:rPr>
        <w:t>数量均已结报完毕，无其他争议，所结报的</w:t>
      </w:r>
      <w:r>
        <w:rPr>
          <w:rFonts w:hint="eastAsia"/>
        </w:rPr>
        <w:t>块石</w:t>
      </w:r>
      <w:r>
        <w:rPr>
          <w:rFonts w:hint="eastAsia"/>
          <w:lang w:eastAsia="zh-Hans"/>
        </w:rPr>
        <w:t>数量真实有效。结算金额达到20万元以上以及最终结算，结算单在双方会签后，报</w:t>
      </w:r>
      <w:r>
        <w:rPr>
          <w:rFonts w:hint="eastAsia"/>
        </w:rPr>
        <w:t>招标人的</w:t>
      </w:r>
      <w:r>
        <w:rPr>
          <w:rFonts w:hint="eastAsia"/>
          <w:lang w:eastAsia="zh-Hans"/>
        </w:rPr>
        <w:t>分公司</w:t>
      </w:r>
      <w:r>
        <w:rPr>
          <w:rFonts w:hint="eastAsia"/>
        </w:rPr>
        <w:t>指定人员</w:t>
      </w:r>
      <w:r>
        <w:rPr>
          <w:rFonts w:hint="eastAsia"/>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rPr>
        <w:t>招标人</w:t>
      </w:r>
      <w:r>
        <w:rPr>
          <w:rFonts w:hint="eastAsia"/>
          <w:lang w:eastAsia="zh-Hans"/>
        </w:rPr>
        <w:t>公司财务物资部协调处置，财务物资部须在15个工作日内解决，财务物资部联系电话：0514-87361764，联系人：朱丽。</w:t>
      </w:r>
    </w:p>
    <w:p>
      <w:pPr>
        <w:spacing w:line="312" w:lineRule="auto"/>
        <w:rPr>
          <w:rFonts w:hint="eastAsia"/>
          <w:lang w:eastAsia="zh-Hans"/>
        </w:rPr>
      </w:pPr>
      <w:r>
        <w:rPr>
          <w:rFonts w:hint="eastAsia"/>
          <w:lang w:eastAsia="zh-Hans"/>
        </w:rPr>
        <w:t>3</w:t>
      </w:r>
      <w:r>
        <w:rPr>
          <w:rFonts w:hint="eastAsia"/>
          <w:lang w:eastAsia="zh-CN"/>
        </w:rPr>
        <w:t>、</w:t>
      </w:r>
      <w:r>
        <w:rPr>
          <w:rFonts w:hint="eastAsia"/>
          <w:lang w:eastAsia="zh-Hans"/>
        </w:rPr>
        <w:t>付款方式</w:t>
      </w:r>
    </w:p>
    <w:p>
      <w:pPr>
        <w:spacing w:line="312" w:lineRule="auto"/>
        <w:rPr>
          <w:rFonts w:hint="eastAsia"/>
          <w:lang w:eastAsia="zh-Hans"/>
        </w:rPr>
      </w:pPr>
      <w:r>
        <w:rPr>
          <w:rFonts w:hint="eastAsia"/>
          <w:lang w:eastAsia="zh-Hans"/>
        </w:rPr>
        <w:t>本次采购无预付款，</w:t>
      </w:r>
      <w:r>
        <w:rPr>
          <w:rFonts w:hint="eastAsia"/>
        </w:rPr>
        <w:t>货物</w:t>
      </w:r>
      <w:r>
        <w:rPr>
          <w:rFonts w:hint="eastAsia"/>
          <w:lang w:eastAsia="zh-Hans"/>
        </w:rPr>
        <w:t>运送到</w:t>
      </w:r>
      <w:r>
        <w:rPr>
          <w:rFonts w:hint="eastAsia"/>
        </w:rPr>
        <w:t>甲方</w:t>
      </w:r>
      <w:r>
        <w:rPr>
          <w:rFonts w:hint="eastAsia"/>
          <w:lang w:eastAsia="zh-Hans"/>
        </w:rPr>
        <w:t>项目施工现场经业主、监理验收合格后，双方</w:t>
      </w:r>
      <w:r>
        <w:rPr>
          <w:rFonts w:hint="eastAsia"/>
        </w:rPr>
        <w:t>对账后次月10日前</w:t>
      </w:r>
      <w:r>
        <w:rPr>
          <w:rFonts w:hint="eastAsia"/>
          <w:lang w:eastAsia="zh-Hans"/>
        </w:rPr>
        <w:t>办理结算手续，</w:t>
      </w:r>
      <w:r>
        <w:rPr>
          <w:rFonts w:hint="eastAsia"/>
        </w:rPr>
        <w:t>乙</w:t>
      </w:r>
      <w:r>
        <w:rPr>
          <w:rFonts w:hint="eastAsia"/>
          <w:lang w:eastAsia="zh-Hans"/>
        </w:rPr>
        <w:t>方同时提供</w:t>
      </w:r>
      <w:r>
        <w:rPr>
          <w:rFonts w:hint="eastAsia"/>
        </w:rPr>
        <w:t>已</w:t>
      </w:r>
      <w:r>
        <w:rPr>
          <w:rFonts w:hint="eastAsia"/>
          <w:lang w:eastAsia="zh-Hans"/>
        </w:rPr>
        <w:t>结算货款等额的税率为</w:t>
      </w:r>
      <w:r>
        <w:rPr>
          <w:rFonts w:hint="eastAsia"/>
          <w:u w:val="single"/>
        </w:rPr>
        <w:t xml:space="preserve"> 13 </w:t>
      </w:r>
      <w:r>
        <w:rPr>
          <w:rFonts w:hint="eastAsia"/>
          <w:lang w:eastAsia="zh-Hans"/>
        </w:rPr>
        <w:t>%的增值税专用发票后10个工作日内，付至已结算货款的90%；余款在材料检测合格</w:t>
      </w:r>
      <w:r>
        <w:rPr>
          <w:rFonts w:hint="eastAsia"/>
        </w:rPr>
        <w:t>并结算手续办理</w:t>
      </w:r>
      <w:r>
        <w:rPr>
          <w:rFonts w:hint="eastAsia"/>
          <w:lang w:eastAsia="zh-Hans"/>
        </w:rPr>
        <w:t>后</w:t>
      </w:r>
      <w:r>
        <w:rPr>
          <w:rFonts w:hint="eastAsia"/>
        </w:rPr>
        <w:t>60</w:t>
      </w:r>
      <w:r>
        <w:rPr>
          <w:rFonts w:hint="eastAsia"/>
          <w:lang w:eastAsia="zh-Hans"/>
        </w:rPr>
        <w:t>天内付清。支付款项前，供货方须按付款额开具并加盖财务专用章的收款收据。</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七</w:t>
      </w:r>
      <w:r>
        <w:rPr>
          <w:rFonts w:ascii="Times New Roman" w:hAnsi="Times New Roman" w:cs="Times New Roman"/>
          <w:b/>
          <w:bCs/>
        </w:rPr>
        <w:t>、其他约定事项：</w:t>
      </w:r>
    </w:p>
    <w:p>
      <w:pPr>
        <w:spacing w:line="312" w:lineRule="auto"/>
        <w:rPr>
          <w:rFonts w:hint="eastAsia"/>
        </w:rPr>
      </w:pPr>
      <w:r>
        <w:t>1、乙方的人员和</w:t>
      </w:r>
      <w:r>
        <w:rPr>
          <w:rFonts w:hint="eastAsia"/>
        </w:rPr>
        <w:t>船舶等设备</w:t>
      </w:r>
      <w:r>
        <w:t>到达施工现场后必须服从甲方现场管理要求，遵守现场的各项安全制度；由于乙方人员不服从甲方现场安全指挥，或不遵守甲方安全生产管理要求而造成的相关损失和责任由乙方承担。</w:t>
      </w:r>
    </w:p>
    <w:p>
      <w:pPr>
        <w:spacing w:line="312" w:lineRule="auto"/>
        <w:rPr>
          <w:rFonts w:hint="eastAsia"/>
        </w:rPr>
      </w:pPr>
      <w:r>
        <w:t>2、本合同在履约过程中，如有任何调增单价、降低质量标准、提前支付货款等</w:t>
      </w:r>
      <w:bookmarkStart w:id="7" w:name="_Hlk77770211"/>
      <w:r>
        <w:t>明显有损于甲方利益的合同条款变更事项</w:t>
      </w:r>
      <w:bookmarkEnd w:id="7"/>
      <w:r>
        <w:t>，经双方代表共同协商一致并书面报甲方公司财务物资部签字并盖章确认后，方可另行签订书面协议，对于未经甲方公司财务物资部签字并盖章确认的明显有损于甲方利益的所有补充、变更协议无效。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420" w:lineRule="exact"/>
        <w:ind w:firstLine="420"/>
        <w:rPr>
          <w:rFonts w:hint="default" w:ascii="Times New Roman" w:hAnsi="Times New Roman" w:eastAsiaTheme="minorEastAsia"/>
          <w:sz w:val="24"/>
          <w:szCs w:val="24"/>
          <w:lang w:val="en-US" w:eastAsia="zh-CN"/>
        </w:rPr>
      </w:pPr>
      <w:r>
        <w:t>3、</w:t>
      </w:r>
      <w:r>
        <w:rPr>
          <w:rFonts w:hint="eastAsia"/>
        </w:rPr>
        <w:t>乙方需向甲方交纳</w:t>
      </w:r>
      <w:r>
        <w:rPr>
          <w:rFonts w:hint="eastAsia"/>
          <w:u w:val="single"/>
          <w:lang w:val="en-US" w:eastAsia="zh-CN"/>
        </w:rPr>
        <w:t xml:space="preserve">          </w:t>
      </w:r>
      <w:r>
        <w:rPr>
          <w:rFonts w:hint="eastAsia"/>
          <w:u w:val="none"/>
          <w:lang w:val="en-US" w:eastAsia="zh-CN"/>
        </w:rPr>
        <w:t>万元</w:t>
      </w:r>
      <w:r>
        <w:rPr>
          <w:rFonts w:hint="eastAsia"/>
          <w:lang w:eastAsia="zh-CN"/>
        </w:rPr>
        <w:t>（</w:t>
      </w:r>
      <w:r>
        <w:rPr>
          <w:rFonts w:hint="eastAsia" w:ascii="Times New Roman" w:hAnsi="Times New Roman" w:cs="Times New Roman"/>
          <w:b w:val="0"/>
          <w:bCs w:val="0"/>
          <w:sz w:val="24"/>
          <w:szCs w:val="24"/>
          <w:u w:val="none"/>
          <w:lang w:val="en-US" w:eastAsia="zh-CN"/>
        </w:rPr>
        <w:t>不低于合同价5%且取整</w:t>
      </w:r>
      <w:r>
        <w:rPr>
          <w:rFonts w:hint="eastAsia"/>
          <w:lang w:eastAsia="zh-CN"/>
        </w:rPr>
        <w:t>）</w:t>
      </w:r>
      <w:r>
        <w:rPr>
          <w:u w:val="none"/>
        </w:rPr>
        <w:t>履</w:t>
      </w:r>
      <w:r>
        <w:t>约保证金</w:t>
      </w:r>
      <w:r>
        <w:rPr>
          <w:rFonts w:hint="eastAsia"/>
          <w:spacing w:val="6"/>
        </w:rPr>
        <w:t>（</w:t>
      </w:r>
      <w:r>
        <w:rPr>
          <w:rFonts w:hint="eastAsia"/>
          <w:b/>
          <w:bCs/>
          <w:spacing w:val="6"/>
        </w:rPr>
        <w:t>可以银行转账、现金、银行汇票、银行本票等方式缴纳，不接受其他任何方式</w:t>
      </w:r>
      <w:r>
        <w:rPr>
          <w:rFonts w:hint="eastAsia"/>
          <w:spacing w:val="6"/>
        </w:rPr>
        <w:t>）</w:t>
      </w:r>
      <w: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pPr>
        <w:spacing w:line="324" w:lineRule="auto"/>
        <w:rPr>
          <w:rFonts w:hint="default" w:ascii="Times New Roman" w:hAnsi="Times New Roman" w:cs="Times New Roman"/>
        </w:rPr>
      </w:pPr>
      <w:r>
        <w:rPr>
          <w:rFonts w:hint="default" w:ascii="Times New Roman" w:hAnsi="Times New Roman" w:cs="Times New Roman"/>
        </w:rPr>
        <w:t>户名：江苏省水利建设工程有限公司</w:t>
      </w:r>
    </w:p>
    <w:p>
      <w:pPr>
        <w:spacing w:line="324" w:lineRule="auto"/>
        <w:rPr>
          <w:rFonts w:hint="default" w:ascii="Times New Roman" w:hAnsi="Times New Roman" w:cs="Times New Roman"/>
        </w:rPr>
      </w:pPr>
      <w:r>
        <w:rPr>
          <w:rFonts w:hint="default" w:ascii="Times New Roman" w:hAnsi="Times New Roman" w:cs="Times New Roman"/>
        </w:rPr>
        <w:t>银行：中国建设银行扬州琼花支行</w:t>
      </w:r>
    </w:p>
    <w:p>
      <w:pPr>
        <w:spacing w:line="324" w:lineRule="auto"/>
        <w:rPr>
          <w:rFonts w:hint="default" w:ascii="Times New Roman" w:hAnsi="Times New Roman" w:cs="Times New Roman"/>
        </w:rPr>
      </w:pPr>
      <w:r>
        <w:rPr>
          <w:rFonts w:hint="default" w:ascii="Times New Roman" w:hAnsi="Times New Roman" w:cs="Times New Roman"/>
        </w:rPr>
        <w:t>账号：32001745736050488688</w:t>
      </w:r>
    </w:p>
    <w:p>
      <w:pPr>
        <w:spacing w:line="312" w:lineRule="auto"/>
        <w:rPr>
          <w:rFonts w:hint="eastAsia"/>
        </w:rPr>
      </w:pPr>
      <w:r>
        <w:rPr>
          <w:rFonts w:hint="eastAsia"/>
        </w:rPr>
        <w:t>4、乙方需派专人为项目部提供7</w:t>
      </w:r>
      <w:r>
        <w:rPr>
          <w:rFonts w:hint="eastAsia" w:ascii="Arial" w:hAnsi="Arial" w:cs="Arial"/>
        </w:rPr>
        <w:t>×</w:t>
      </w:r>
      <w:r>
        <w:rPr>
          <w:rFonts w:hint="eastAsia"/>
        </w:rPr>
        <w:t>24小时的服务，包括但不限于工程项目部供货计划的接收、供货的协调、块石收货签单的核对、与项目部办理结算等。提供服务人员须在半小时内能赶到施工现场。</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八</w:t>
      </w:r>
      <w:r>
        <w:rPr>
          <w:rFonts w:ascii="Times New Roman" w:hAnsi="Times New Roman" w:cs="Times New Roman"/>
          <w:b/>
          <w:bCs/>
        </w:rPr>
        <w:t>、违约责任</w:t>
      </w:r>
    </w:p>
    <w:p>
      <w:pPr>
        <w:spacing w:line="312" w:lineRule="auto"/>
        <w:rPr>
          <w:rFonts w:hint="eastAsia"/>
        </w:rPr>
      </w:pPr>
      <w:r>
        <w:t>甲乙双方应该严格履行各自的义务，否则，应视为违约，违约方应向守约方赔偿损失。</w:t>
      </w:r>
    </w:p>
    <w:p>
      <w:pPr>
        <w:spacing w:line="312" w:lineRule="auto"/>
        <w:rPr>
          <w:rFonts w:hint="eastAsia"/>
        </w:rPr>
      </w:pPr>
      <w:r>
        <w:t>如果乙方向甲方提供的</w:t>
      </w:r>
      <w:r>
        <w:rPr>
          <w:rFonts w:hint="eastAsia"/>
        </w:rPr>
        <w:t>块石</w:t>
      </w:r>
      <w:r>
        <w:t>不符合本合同约定的指标，或者供货期超出甲方指定供货期3日的，甲方有权终止本合同的履行。</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九</w:t>
      </w:r>
      <w:r>
        <w:rPr>
          <w:rFonts w:ascii="Times New Roman" w:hAnsi="Times New Roman" w:cs="Times New Roman"/>
          <w:b/>
          <w:bCs/>
        </w:rPr>
        <w:t>、解决争议的方式</w:t>
      </w:r>
    </w:p>
    <w:p>
      <w:pPr>
        <w:spacing w:line="312" w:lineRule="auto"/>
        <w:rPr>
          <w:rFonts w:hint="eastAsia"/>
        </w:rPr>
      </w:pPr>
      <w:r>
        <w:rPr>
          <w:rFonts w:hint="eastAsia"/>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482" w:firstLineChars="200"/>
        <w:rPr>
          <w:rFonts w:ascii="Times New Roman" w:hAnsi="Times New Roman"/>
          <w:sz w:val="24"/>
          <w:szCs w:val="24"/>
        </w:rPr>
      </w:pPr>
      <w:r>
        <w:rPr>
          <w:rFonts w:ascii="Times New Roman" w:hAnsi="Times New Roman"/>
          <w:b/>
          <w:sz w:val="24"/>
          <w:szCs w:val="24"/>
        </w:rPr>
        <w:t>十三、</w:t>
      </w:r>
      <w:r>
        <w:rPr>
          <w:rFonts w:hint="eastAsia"/>
          <w:sz w:val="24"/>
          <w:szCs w:val="24"/>
        </w:rPr>
        <w:t>本合同自双方签字盖章且在甲方收到履约保证金后生效</w:t>
      </w:r>
      <w:r>
        <w:rPr>
          <w:rFonts w:hint="eastAsia"/>
          <w:bCs/>
          <w:color w:val="000000"/>
          <w:sz w:val="24"/>
          <w:szCs w:val="24"/>
        </w:rPr>
        <w:t>，</w:t>
      </w:r>
      <w:r>
        <w:rPr>
          <w:rFonts w:hint="eastAsia"/>
          <w:bCs/>
          <w:color w:val="000000"/>
          <w:sz w:val="24"/>
          <w:szCs w:val="24"/>
          <w:lang w:val="en-US" w:eastAsia="zh-CN"/>
        </w:rPr>
        <w:t>本合同</w:t>
      </w:r>
      <w:r>
        <w:rPr>
          <w:rFonts w:hint="eastAsia"/>
          <w:bCs/>
          <w:color w:val="000000"/>
          <w:sz w:val="24"/>
          <w:szCs w:val="24"/>
        </w:rPr>
        <w:t>一式</w:t>
      </w:r>
      <w:r>
        <w:rPr>
          <w:rFonts w:hint="eastAsia"/>
          <w:bCs/>
          <w:color w:val="000000"/>
          <w:sz w:val="24"/>
          <w:szCs w:val="24"/>
          <w:u w:val="single"/>
          <w:lang w:val="en-US" w:eastAsia="zh-CN"/>
        </w:rPr>
        <w:t xml:space="preserve">   </w:t>
      </w:r>
      <w:r>
        <w:rPr>
          <w:rFonts w:hint="eastAsia"/>
          <w:bCs/>
          <w:color w:val="000000"/>
          <w:sz w:val="24"/>
          <w:szCs w:val="24"/>
        </w:rPr>
        <w:t>份，甲方执</w:t>
      </w:r>
      <w:r>
        <w:rPr>
          <w:rFonts w:hint="eastAsia"/>
          <w:bCs/>
          <w:color w:val="000000"/>
          <w:sz w:val="24"/>
          <w:szCs w:val="24"/>
          <w:u w:val="single"/>
          <w:lang w:val="en-US" w:eastAsia="zh-CN"/>
        </w:rPr>
        <w:t xml:space="preserve">    </w:t>
      </w:r>
      <w:r>
        <w:rPr>
          <w:rFonts w:hint="eastAsia"/>
          <w:bCs/>
          <w:color w:val="000000"/>
          <w:sz w:val="24"/>
          <w:szCs w:val="24"/>
        </w:rPr>
        <w:t>份，</w:t>
      </w:r>
      <w:r>
        <w:rPr>
          <w:rFonts w:hint="eastAsia"/>
          <w:bCs/>
          <w:color w:val="000000"/>
          <w:sz w:val="24"/>
          <w:szCs w:val="24"/>
          <w:lang w:val="en-US" w:eastAsia="zh-CN"/>
        </w:rPr>
        <w:t>乙</w:t>
      </w:r>
      <w:r>
        <w:rPr>
          <w:rFonts w:hint="eastAsia"/>
          <w:bCs/>
          <w:color w:val="000000"/>
          <w:sz w:val="24"/>
          <w:szCs w:val="24"/>
        </w:rPr>
        <w:t>方执</w:t>
      </w:r>
      <w:r>
        <w:rPr>
          <w:rFonts w:hint="eastAsia"/>
          <w:bCs/>
          <w:color w:val="000000"/>
          <w:sz w:val="24"/>
          <w:szCs w:val="24"/>
          <w:u w:val="single"/>
          <w:lang w:val="en-US" w:eastAsia="zh-CN"/>
        </w:rPr>
        <w:t xml:space="preserve">   </w:t>
      </w:r>
      <w:r>
        <w:rPr>
          <w:rFonts w:hint="eastAsia"/>
          <w:bCs/>
          <w:color w:val="000000"/>
          <w:sz w:val="24"/>
          <w:szCs w:val="24"/>
        </w:rPr>
        <w:t>份具有同等法律效力。签订时间：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pPr>
        <w:spacing w:line="312" w:lineRule="auto"/>
        <w:ind w:left="-28" w:firstLine="482"/>
        <w:jc w:val="left"/>
        <w:rPr>
          <w:rFonts w:ascii="Times New Roman" w:hAnsi="Times New Roman" w:cs="Times New Roman"/>
          <w:b/>
          <w:bCs/>
        </w:rPr>
      </w:pPr>
      <w:r>
        <w:rPr>
          <w:rFonts w:ascii="Times New Roman" w:hAnsi="Times New Roman" w:cs="Times New Roman"/>
          <w:b/>
          <w:bCs/>
        </w:rPr>
        <w:t>十</w:t>
      </w:r>
      <w:r>
        <w:rPr>
          <w:rFonts w:hint="eastAsia" w:ascii="Times New Roman" w:hAnsi="Times New Roman" w:cs="Times New Roman"/>
          <w:b/>
          <w:bCs/>
        </w:rPr>
        <w:t>一</w:t>
      </w:r>
      <w:r>
        <w:rPr>
          <w:rFonts w:ascii="Times New Roman" w:hAnsi="Times New Roman" w:cs="Times New Roman"/>
          <w:b/>
          <w:bCs/>
        </w:rPr>
        <w:t>、本合同附件</w:t>
      </w:r>
    </w:p>
    <w:p>
      <w:pPr>
        <w:spacing w:line="312" w:lineRule="auto"/>
        <w:rPr>
          <w:rFonts w:hint="eastAsia"/>
        </w:rPr>
      </w:pPr>
      <w:r>
        <w:t>（1）甲乙双方营业执照复印件；</w:t>
      </w:r>
    </w:p>
    <w:p>
      <w:pPr>
        <w:spacing w:line="312" w:lineRule="auto"/>
        <w:rPr>
          <w:rFonts w:hint="eastAsia"/>
        </w:rPr>
      </w:pPr>
      <w:r>
        <w:t>（2）甲方与业主签订的主合同</w:t>
      </w:r>
      <w:r>
        <w:rPr>
          <w:rFonts w:hint="eastAsia"/>
        </w:rPr>
        <w:t>块石</w:t>
      </w:r>
      <w:r>
        <w:t>技术条款；</w:t>
      </w:r>
    </w:p>
    <w:p>
      <w:pPr>
        <w:spacing w:line="312" w:lineRule="auto"/>
        <w:rPr>
          <w:rFonts w:hint="eastAsia"/>
        </w:rPr>
      </w:pPr>
      <w:r>
        <w:t>（</w:t>
      </w:r>
      <w:r>
        <w:rPr>
          <w:rFonts w:hint="eastAsia"/>
        </w:rPr>
        <w:t>3</w:t>
      </w:r>
      <w:r>
        <w:t>）</w:t>
      </w:r>
      <w:r>
        <w:rPr>
          <w:rFonts w:hint="eastAsia"/>
        </w:rPr>
        <w:t>块石采购的招标文件、乙方的投标文件。</w:t>
      </w:r>
    </w:p>
    <w:p>
      <w:pPr>
        <w:pStyle w:val="2"/>
        <w:rPr>
          <w:rFonts w:hint="eastAsia" w:ascii="宋体" w:hAnsi="宋体" w:eastAsia="宋体" w:cs="宋体"/>
          <w:color w:val="auto"/>
          <w:sz w:val="24"/>
          <w:szCs w:val="24"/>
          <w:highlight w:val="none"/>
          <w:lang w:val="en-US" w:eastAsia="zh-CN"/>
        </w:rPr>
      </w:pPr>
    </w:p>
    <w:p>
      <w:pPr>
        <w:tabs>
          <w:tab w:val="left" w:pos="5040"/>
        </w:tabs>
        <w:spacing w:line="480" w:lineRule="auto"/>
        <w:ind w:firstLine="0" w:firstLineChars="0"/>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pPr>
        <w:tabs>
          <w:tab w:val="left" w:pos="5040"/>
        </w:tabs>
        <w:spacing w:line="480" w:lineRule="auto"/>
        <w:ind w:firstLine="0" w:firstLineChars="0"/>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pPr>
        <w:tabs>
          <w:tab w:val="left" w:pos="5040"/>
        </w:tabs>
        <w:spacing w:line="480" w:lineRule="auto"/>
        <w:ind w:firstLine="0" w:firstLineChars="0"/>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pPr>
        <w:tabs>
          <w:tab w:val="left" w:pos="5040"/>
        </w:tabs>
        <w:spacing w:line="480" w:lineRule="auto"/>
        <w:ind w:firstLine="0" w:firstLineChars="0"/>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pPr>
        <w:tabs>
          <w:tab w:val="left" w:pos="5040"/>
        </w:tabs>
        <w:spacing w:line="480" w:lineRule="auto"/>
        <w:ind w:firstLine="0" w:firstLineChars="0"/>
        <w:rPr>
          <w:rFonts w:hint="eastAsia"/>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sectPr>
      <w:headerReference r:id="rId11" w:type="default"/>
      <w:footerReference r:id="rId12" w:type="default"/>
      <w:pgSz w:w="11906" w:h="16838"/>
      <w:pgMar w:top="1531" w:right="1134" w:bottom="1474" w:left="1134" w:header="907" w:footer="90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405EF8-8500-4DE2-8F9D-2F5D4654DE25}"/>
  </w:font>
  <w:font w:name="黑体">
    <w:panose1 w:val="02010609060101010101"/>
    <w:charset w:val="86"/>
    <w:family w:val="auto"/>
    <w:pitch w:val="default"/>
    <w:sig w:usb0="800002BF" w:usb1="38CF7CFA" w:usb2="00000016" w:usb3="00000000" w:csb0="00040001" w:csb1="00000000"/>
    <w:embedRegular r:id="rId2" w:fontKey="{0AB70568-1565-482A-BFBA-972C08463F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BC2FB1A3-52E4-4DEA-AC58-F50AB251A8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Style w:val="16"/>
        <w:rFonts w:hint="eastAsia"/>
      </w:rPr>
    </w:pPr>
    <w:r>
      <w:rPr>
        <w:rStyle w:val="16"/>
      </w:rPr>
      <w:fldChar w:fldCharType="begin"/>
    </w:r>
    <w:r>
      <w:rPr>
        <w:rStyle w:val="16"/>
      </w:rPr>
      <w:instrText xml:space="preserve">PAGE  </w:instrText>
    </w:r>
    <w:r>
      <w:rPr>
        <w:rStyle w:val="16"/>
      </w:rPr>
      <w:fldChar w:fldCharType="end"/>
    </w:r>
  </w:p>
  <w:p>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480"/>
      </w:pPr>
      <w:r>
        <w:separator/>
      </w:r>
    </w:p>
  </w:footnote>
  <w:footnote w:type="continuationSeparator" w:id="1">
    <w:p>
      <w:pPr>
        <w:spacing w:line="336"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03D1"/>
    <w:rsid w:val="00105DEA"/>
    <w:rsid w:val="0011119A"/>
    <w:rsid w:val="0012146D"/>
    <w:rsid w:val="0013499D"/>
    <w:rsid w:val="00137E75"/>
    <w:rsid w:val="00184E0A"/>
    <w:rsid w:val="00190F46"/>
    <w:rsid w:val="001920B9"/>
    <w:rsid w:val="0019635F"/>
    <w:rsid w:val="00196CBA"/>
    <w:rsid w:val="001B308F"/>
    <w:rsid w:val="001B3DDE"/>
    <w:rsid w:val="001C501E"/>
    <w:rsid w:val="001D4EA3"/>
    <w:rsid w:val="001E686D"/>
    <w:rsid w:val="001F0B1F"/>
    <w:rsid w:val="001F3000"/>
    <w:rsid w:val="001F6A6E"/>
    <w:rsid w:val="001F7047"/>
    <w:rsid w:val="00210C23"/>
    <w:rsid w:val="0021116B"/>
    <w:rsid w:val="0021298F"/>
    <w:rsid w:val="00227045"/>
    <w:rsid w:val="00230291"/>
    <w:rsid w:val="0023311A"/>
    <w:rsid w:val="002509F7"/>
    <w:rsid w:val="00256E56"/>
    <w:rsid w:val="002577F1"/>
    <w:rsid w:val="00257D89"/>
    <w:rsid w:val="002602A0"/>
    <w:rsid w:val="002A332E"/>
    <w:rsid w:val="002A3837"/>
    <w:rsid w:val="002B299E"/>
    <w:rsid w:val="002C4DB7"/>
    <w:rsid w:val="002C545D"/>
    <w:rsid w:val="002C5BA3"/>
    <w:rsid w:val="002F4724"/>
    <w:rsid w:val="002F5A1A"/>
    <w:rsid w:val="002F6A55"/>
    <w:rsid w:val="003076CE"/>
    <w:rsid w:val="003326ED"/>
    <w:rsid w:val="0034427D"/>
    <w:rsid w:val="003529D4"/>
    <w:rsid w:val="00367458"/>
    <w:rsid w:val="00372711"/>
    <w:rsid w:val="00394767"/>
    <w:rsid w:val="0039761E"/>
    <w:rsid w:val="003A3E69"/>
    <w:rsid w:val="003C4DC0"/>
    <w:rsid w:val="003D05E0"/>
    <w:rsid w:val="003D4C5A"/>
    <w:rsid w:val="003E456A"/>
    <w:rsid w:val="00401692"/>
    <w:rsid w:val="00411951"/>
    <w:rsid w:val="00412920"/>
    <w:rsid w:val="00413DE0"/>
    <w:rsid w:val="00416FA7"/>
    <w:rsid w:val="00430D5B"/>
    <w:rsid w:val="0043135B"/>
    <w:rsid w:val="00435077"/>
    <w:rsid w:val="0048003E"/>
    <w:rsid w:val="004964C0"/>
    <w:rsid w:val="004E0BEB"/>
    <w:rsid w:val="004E2EEA"/>
    <w:rsid w:val="004F64F3"/>
    <w:rsid w:val="005060EB"/>
    <w:rsid w:val="00523AD1"/>
    <w:rsid w:val="005266CD"/>
    <w:rsid w:val="00531CC4"/>
    <w:rsid w:val="00535E7E"/>
    <w:rsid w:val="00540410"/>
    <w:rsid w:val="00541725"/>
    <w:rsid w:val="005420B3"/>
    <w:rsid w:val="00554792"/>
    <w:rsid w:val="0056323F"/>
    <w:rsid w:val="005703F2"/>
    <w:rsid w:val="00571CA0"/>
    <w:rsid w:val="00574401"/>
    <w:rsid w:val="00582833"/>
    <w:rsid w:val="005845B9"/>
    <w:rsid w:val="00584895"/>
    <w:rsid w:val="00587A28"/>
    <w:rsid w:val="0059411A"/>
    <w:rsid w:val="005D2BED"/>
    <w:rsid w:val="005D6AD0"/>
    <w:rsid w:val="005E39AB"/>
    <w:rsid w:val="005E5142"/>
    <w:rsid w:val="005E77A5"/>
    <w:rsid w:val="005F454D"/>
    <w:rsid w:val="005F683E"/>
    <w:rsid w:val="006150D7"/>
    <w:rsid w:val="006210DC"/>
    <w:rsid w:val="006248BE"/>
    <w:rsid w:val="00625320"/>
    <w:rsid w:val="006260ED"/>
    <w:rsid w:val="006313EE"/>
    <w:rsid w:val="006324C1"/>
    <w:rsid w:val="00632767"/>
    <w:rsid w:val="00642811"/>
    <w:rsid w:val="00653C0A"/>
    <w:rsid w:val="006654EB"/>
    <w:rsid w:val="00670B94"/>
    <w:rsid w:val="00671A69"/>
    <w:rsid w:val="006723DB"/>
    <w:rsid w:val="00684B59"/>
    <w:rsid w:val="006C5BEC"/>
    <w:rsid w:val="006D45E0"/>
    <w:rsid w:val="006E3317"/>
    <w:rsid w:val="006F1655"/>
    <w:rsid w:val="006F7ED2"/>
    <w:rsid w:val="007129EE"/>
    <w:rsid w:val="00724A1A"/>
    <w:rsid w:val="00734C3F"/>
    <w:rsid w:val="007377D4"/>
    <w:rsid w:val="0075301C"/>
    <w:rsid w:val="00760E9E"/>
    <w:rsid w:val="00761D8E"/>
    <w:rsid w:val="007637C1"/>
    <w:rsid w:val="007673D2"/>
    <w:rsid w:val="00770E8E"/>
    <w:rsid w:val="00781D9D"/>
    <w:rsid w:val="00782BC6"/>
    <w:rsid w:val="007B4B3A"/>
    <w:rsid w:val="007D036F"/>
    <w:rsid w:val="007D7C82"/>
    <w:rsid w:val="007E106A"/>
    <w:rsid w:val="007E1648"/>
    <w:rsid w:val="007E70F4"/>
    <w:rsid w:val="007F6419"/>
    <w:rsid w:val="00804F7B"/>
    <w:rsid w:val="0081113B"/>
    <w:rsid w:val="008165F8"/>
    <w:rsid w:val="00824C15"/>
    <w:rsid w:val="00830216"/>
    <w:rsid w:val="008316B2"/>
    <w:rsid w:val="00840421"/>
    <w:rsid w:val="00846251"/>
    <w:rsid w:val="00850926"/>
    <w:rsid w:val="00860F3E"/>
    <w:rsid w:val="00880632"/>
    <w:rsid w:val="008829D0"/>
    <w:rsid w:val="00885DB9"/>
    <w:rsid w:val="008906C7"/>
    <w:rsid w:val="00894F25"/>
    <w:rsid w:val="008959A4"/>
    <w:rsid w:val="008B1B4B"/>
    <w:rsid w:val="008B7F86"/>
    <w:rsid w:val="008C0DD3"/>
    <w:rsid w:val="008C3B30"/>
    <w:rsid w:val="008C7DD2"/>
    <w:rsid w:val="008F0EEA"/>
    <w:rsid w:val="008F2990"/>
    <w:rsid w:val="008F6107"/>
    <w:rsid w:val="00910A38"/>
    <w:rsid w:val="0091774A"/>
    <w:rsid w:val="00921DD1"/>
    <w:rsid w:val="00925BA3"/>
    <w:rsid w:val="00942070"/>
    <w:rsid w:val="009452E8"/>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D3DE5"/>
    <w:rsid w:val="009F21BE"/>
    <w:rsid w:val="009F7CA6"/>
    <w:rsid w:val="00A0410A"/>
    <w:rsid w:val="00A047E2"/>
    <w:rsid w:val="00A110D8"/>
    <w:rsid w:val="00A127B3"/>
    <w:rsid w:val="00A2332B"/>
    <w:rsid w:val="00A36AED"/>
    <w:rsid w:val="00A42A64"/>
    <w:rsid w:val="00A469F8"/>
    <w:rsid w:val="00A56467"/>
    <w:rsid w:val="00A6480A"/>
    <w:rsid w:val="00A700DC"/>
    <w:rsid w:val="00A8763C"/>
    <w:rsid w:val="00A91163"/>
    <w:rsid w:val="00A9438C"/>
    <w:rsid w:val="00AA0DFF"/>
    <w:rsid w:val="00AA37D6"/>
    <w:rsid w:val="00AA533F"/>
    <w:rsid w:val="00AC1FD3"/>
    <w:rsid w:val="00AC4884"/>
    <w:rsid w:val="00AD0501"/>
    <w:rsid w:val="00AD5ED4"/>
    <w:rsid w:val="00AD7EC5"/>
    <w:rsid w:val="00AE3900"/>
    <w:rsid w:val="00AF2067"/>
    <w:rsid w:val="00AF6E79"/>
    <w:rsid w:val="00B0430E"/>
    <w:rsid w:val="00B071CA"/>
    <w:rsid w:val="00B13116"/>
    <w:rsid w:val="00B1729A"/>
    <w:rsid w:val="00B2285D"/>
    <w:rsid w:val="00B261D1"/>
    <w:rsid w:val="00B30B6E"/>
    <w:rsid w:val="00B44E46"/>
    <w:rsid w:val="00B5451B"/>
    <w:rsid w:val="00B6173C"/>
    <w:rsid w:val="00B63748"/>
    <w:rsid w:val="00B63F97"/>
    <w:rsid w:val="00B6554F"/>
    <w:rsid w:val="00B764EA"/>
    <w:rsid w:val="00B77061"/>
    <w:rsid w:val="00B84C0A"/>
    <w:rsid w:val="00B91EFD"/>
    <w:rsid w:val="00BA0044"/>
    <w:rsid w:val="00BC00F3"/>
    <w:rsid w:val="00BC291D"/>
    <w:rsid w:val="00BC468D"/>
    <w:rsid w:val="00BC7A73"/>
    <w:rsid w:val="00BD00DF"/>
    <w:rsid w:val="00BD25A1"/>
    <w:rsid w:val="00BD60BE"/>
    <w:rsid w:val="00BF6691"/>
    <w:rsid w:val="00C0058F"/>
    <w:rsid w:val="00C01F83"/>
    <w:rsid w:val="00C10B4F"/>
    <w:rsid w:val="00C10D61"/>
    <w:rsid w:val="00C12771"/>
    <w:rsid w:val="00C167BD"/>
    <w:rsid w:val="00C172A6"/>
    <w:rsid w:val="00C202C3"/>
    <w:rsid w:val="00C22719"/>
    <w:rsid w:val="00C5658D"/>
    <w:rsid w:val="00C620B7"/>
    <w:rsid w:val="00C71770"/>
    <w:rsid w:val="00C76C57"/>
    <w:rsid w:val="00C7722B"/>
    <w:rsid w:val="00C826D9"/>
    <w:rsid w:val="00C85184"/>
    <w:rsid w:val="00C93FEC"/>
    <w:rsid w:val="00CA7797"/>
    <w:rsid w:val="00CB254F"/>
    <w:rsid w:val="00CB2DCB"/>
    <w:rsid w:val="00CB59DE"/>
    <w:rsid w:val="00CD0152"/>
    <w:rsid w:val="00CD4930"/>
    <w:rsid w:val="00CD4A2C"/>
    <w:rsid w:val="00CE3AF0"/>
    <w:rsid w:val="00CF190F"/>
    <w:rsid w:val="00D13059"/>
    <w:rsid w:val="00D17EE1"/>
    <w:rsid w:val="00D201E6"/>
    <w:rsid w:val="00D336C3"/>
    <w:rsid w:val="00D404DC"/>
    <w:rsid w:val="00D52ACE"/>
    <w:rsid w:val="00D6067A"/>
    <w:rsid w:val="00D70B17"/>
    <w:rsid w:val="00D73339"/>
    <w:rsid w:val="00D802D2"/>
    <w:rsid w:val="00D844DC"/>
    <w:rsid w:val="00DA3458"/>
    <w:rsid w:val="00DC57E7"/>
    <w:rsid w:val="00DC5AE4"/>
    <w:rsid w:val="00DD03EA"/>
    <w:rsid w:val="00DD11C2"/>
    <w:rsid w:val="00DD7813"/>
    <w:rsid w:val="00DE602F"/>
    <w:rsid w:val="00DF262C"/>
    <w:rsid w:val="00DF3220"/>
    <w:rsid w:val="00E02982"/>
    <w:rsid w:val="00E0750B"/>
    <w:rsid w:val="00E528B0"/>
    <w:rsid w:val="00E7014F"/>
    <w:rsid w:val="00E726B0"/>
    <w:rsid w:val="00E727D0"/>
    <w:rsid w:val="00E83353"/>
    <w:rsid w:val="00E94D65"/>
    <w:rsid w:val="00E95BC0"/>
    <w:rsid w:val="00EA04EC"/>
    <w:rsid w:val="00EA416C"/>
    <w:rsid w:val="00EA7507"/>
    <w:rsid w:val="00EB5DAC"/>
    <w:rsid w:val="00EC6192"/>
    <w:rsid w:val="00ED1126"/>
    <w:rsid w:val="00EE57D6"/>
    <w:rsid w:val="00EF2DAB"/>
    <w:rsid w:val="00EF5C6B"/>
    <w:rsid w:val="00F061E9"/>
    <w:rsid w:val="00F17464"/>
    <w:rsid w:val="00F2734C"/>
    <w:rsid w:val="00F328ED"/>
    <w:rsid w:val="00F36A6E"/>
    <w:rsid w:val="00F41569"/>
    <w:rsid w:val="00F507AA"/>
    <w:rsid w:val="00F52165"/>
    <w:rsid w:val="00F56688"/>
    <w:rsid w:val="00F65D10"/>
    <w:rsid w:val="00F71C88"/>
    <w:rsid w:val="00F771CA"/>
    <w:rsid w:val="00F808E8"/>
    <w:rsid w:val="00F81959"/>
    <w:rsid w:val="00F8294B"/>
    <w:rsid w:val="00F9692F"/>
    <w:rsid w:val="00FB6905"/>
    <w:rsid w:val="00FB6D94"/>
    <w:rsid w:val="00FC5F0C"/>
    <w:rsid w:val="00FD0A52"/>
    <w:rsid w:val="00FD7668"/>
    <w:rsid w:val="00FE0534"/>
    <w:rsid w:val="00FF3E75"/>
    <w:rsid w:val="028B38C4"/>
    <w:rsid w:val="060C4B01"/>
    <w:rsid w:val="07CA2465"/>
    <w:rsid w:val="083420ED"/>
    <w:rsid w:val="08FD4A0D"/>
    <w:rsid w:val="09AB5EF1"/>
    <w:rsid w:val="0A80786B"/>
    <w:rsid w:val="0B8A3D1B"/>
    <w:rsid w:val="0BE10A0F"/>
    <w:rsid w:val="0EBE0962"/>
    <w:rsid w:val="0F2838DE"/>
    <w:rsid w:val="103D7C0F"/>
    <w:rsid w:val="104A581B"/>
    <w:rsid w:val="10950A41"/>
    <w:rsid w:val="114F3C6F"/>
    <w:rsid w:val="116A32BE"/>
    <w:rsid w:val="11BF2AAD"/>
    <w:rsid w:val="121428EC"/>
    <w:rsid w:val="13BF768D"/>
    <w:rsid w:val="13E659B1"/>
    <w:rsid w:val="14294CA9"/>
    <w:rsid w:val="151A5E3B"/>
    <w:rsid w:val="15496155"/>
    <w:rsid w:val="18047774"/>
    <w:rsid w:val="18117D55"/>
    <w:rsid w:val="18351172"/>
    <w:rsid w:val="193E726F"/>
    <w:rsid w:val="19BF1C12"/>
    <w:rsid w:val="19D210AE"/>
    <w:rsid w:val="1A00411B"/>
    <w:rsid w:val="1A370450"/>
    <w:rsid w:val="1A561651"/>
    <w:rsid w:val="1A9A1998"/>
    <w:rsid w:val="1C6D2469"/>
    <w:rsid w:val="1D27048F"/>
    <w:rsid w:val="1E905236"/>
    <w:rsid w:val="1EBB12A0"/>
    <w:rsid w:val="1FB44C34"/>
    <w:rsid w:val="201A219F"/>
    <w:rsid w:val="225C4D0A"/>
    <w:rsid w:val="226D4721"/>
    <w:rsid w:val="22723AE6"/>
    <w:rsid w:val="231A50A3"/>
    <w:rsid w:val="23B8047B"/>
    <w:rsid w:val="24BF011E"/>
    <w:rsid w:val="25174F8C"/>
    <w:rsid w:val="253B7F39"/>
    <w:rsid w:val="26464D2B"/>
    <w:rsid w:val="28803D90"/>
    <w:rsid w:val="2995009F"/>
    <w:rsid w:val="29F309A2"/>
    <w:rsid w:val="2AFC1F16"/>
    <w:rsid w:val="2CBE44F7"/>
    <w:rsid w:val="2CE628BB"/>
    <w:rsid w:val="2F4A02C4"/>
    <w:rsid w:val="2F4D5528"/>
    <w:rsid w:val="30121A9A"/>
    <w:rsid w:val="303E33AA"/>
    <w:rsid w:val="33310924"/>
    <w:rsid w:val="333D1F3C"/>
    <w:rsid w:val="33EE40A7"/>
    <w:rsid w:val="345F1918"/>
    <w:rsid w:val="35D2691D"/>
    <w:rsid w:val="3667175C"/>
    <w:rsid w:val="37AC3523"/>
    <w:rsid w:val="38214B80"/>
    <w:rsid w:val="38C1461C"/>
    <w:rsid w:val="3A156427"/>
    <w:rsid w:val="3A8E01DB"/>
    <w:rsid w:val="3B5C2C9A"/>
    <w:rsid w:val="3C237ED3"/>
    <w:rsid w:val="3DFB09DB"/>
    <w:rsid w:val="3FA806EF"/>
    <w:rsid w:val="3FF974C4"/>
    <w:rsid w:val="41036525"/>
    <w:rsid w:val="415428DD"/>
    <w:rsid w:val="416F7716"/>
    <w:rsid w:val="43DD7AE2"/>
    <w:rsid w:val="43ED17F9"/>
    <w:rsid w:val="43FB425B"/>
    <w:rsid w:val="454F3F26"/>
    <w:rsid w:val="465044A0"/>
    <w:rsid w:val="46A05541"/>
    <w:rsid w:val="48831CF9"/>
    <w:rsid w:val="48F02005"/>
    <w:rsid w:val="49293049"/>
    <w:rsid w:val="4964602B"/>
    <w:rsid w:val="49D3061B"/>
    <w:rsid w:val="4AF94826"/>
    <w:rsid w:val="4B1F7C04"/>
    <w:rsid w:val="4B895879"/>
    <w:rsid w:val="4BB32102"/>
    <w:rsid w:val="4CD34FFD"/>
    <w:rsid w:val="4F551D3A"/>
    <w:rsid w:val="504C15C8"/>
    <w:rsid w:val="511E5D67"/>
    <w:rsid w:val="51324A3C"/>
    <w:rsid w:val="515F2108"/>
    <w:rsid w:val="533C1422"/>
    <w:rsid w:val="53A312FA"/>
    <w:rsid w:val="53B63FEA"/>
    <w:rsid w:val="54292A30"/>
    <w:rsid w:val="548328F8"/>
    <w:rsid w:val="55225F26"/>
    <w:rsid w:val="56AB2B47"/>
    <w:rsid w:val="56B66F9E"/>
    <w:rsid w:val="58974CE5"/>
    <w:rsid w:val="59024996"/>
    <w:rsid w:val="593037D7"/>
    <w:rsid w:val="598679E0"/>
    <w:rsid w:val="59A34D2C"/>
    <w:rsid w:val="59FE5B32"/>
    <w:rsid w:val="5A5D5558"/>
    <w:rsid w:val="5A8E0E04"/>
    <w:rsid w:val="5C1C245B"/>
    <w:rsid w:val="5C7F72A3"/>
    <w:rsid w:val="5CB10F03"/>
    <w:rsid w:val="5DA60650"/>
    <w:rsid w:val="5DBA7B13"/>
    <w:rsid w:val="5EE536CB"/>
    <w:rsid w:val="5F374697"/>
    <w:rsid w:val="60BF5B6D"/>
    <w:rsid w:val="60CF2BE8"/>
    <w:rsid w:val="613B482F"/>
    <w:rsid w:val="62E61243"/>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4D336D"/>
    <w:rsid w:val="6F5A561E"/>
    <w:rsid w:val="6F690044"/>
    <w:rsid w:val="70B14CA6"/>
    <w:rsid w:val="728C5ACB"/>
    <w:rsid w:val="728D7966"/>
    <w:rsid w:val="72CF5B8D"/>
    <w:rsid w:val="739420B8"/>
    <w:rsid w:val="739A5E7A"/>
    <w:rsid w:val="73AF26D7"/>
    <w:rsid w:val="75721609"/>
    <w:rsid w:val="75F801E4"/>
    <w:rsid w:val="778D1A9E"/>
    <w:rsid w:val="77D9239D"/>
    <w:rsid w:val="77EB7DB5"/>
    <w:rsid w:val="78B907E2"/>
    <w:rsid w:val="7A1217FE"/>
    <w:rsid w:val="7A8D259F"/>
    <w:rsid w:val="7B0A3F6D"/>
    <w:rsid w:val="7B6B48C3"/>
    <w:rsid w:val="7BA405E0"/>
    <w:rsid w:val="7E002EC9"/>
    <w:rsid w:val="7E9C2006"/>
    <w:rsid w:val="7F3C589C"/>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36" w:lineRule="auto"/>
      <w:ind w:firstLine="480" w:firstLineChars="200"/>
      <w:jc w:val="both"/>
    </w:pPr>
    <w:rPr>
      <w:rFonts w:ascii="宋体" w:hAnsi="宋体" w:eastAsia="宋体" w:cs="宋体"/>
      <w:kern w:val="2"/>
      <w:sz w:val="24"/>
      <w:szCs w:val="24"/>
      <w:lang w:val="en-US" w:eastAsia="zh-CN" w:bidi="ar-SA"/>
    </w:rPr>
  </w:style>
  <w:style w:type="paragraph" w:styleId="3">
    <w:name w:val="heading 1"/>
    <w:basedOn w:val="1"/>
    <w:next w:val="1"/>
    <w:link w:val="30"/>
    <w:qFormat/>
    <w:uiPriority w:val="9"/>
    <w:pPr>
      <w:keepNext/>
      <w:keepLines/>
      <w:snapToGrid w:val="0"/>
      <w:spacing w:line="578" w:lineRule="auto"/>
      <w:ind w:firstLine="643"/>
      <w:jc w:val="center"/>
      <w:outlineLvl w:val="0"/>
    </w:pPr>
    <w:rPr>
      <w:b/>
      <w:bCs/>
      <w:kern w:val="44"/>
      <w:sz w:val="32"/>
      <w:szCs w:val="32"/>
    </w:rPr>
  </w:style>
  <w:style w:type="paragraph" w:styleId="4">
    <w:name w:val="heading 2"/>
    <w:basedOn w:val="1"/>
    <w:next w:val="1"/>
    <w:link w:val="29"/>
    <w:qFormat/>
    <w:uiPriority w:val="0"/>
    <w:pPr>
      <w:keepNext/>
      <w:keepLines/>
      <w:spacing w:before="120" w:after="120" w:line="360" w:lineRule="auto"/>
      <w:jc w:val="left"/>
      <w:outlineLvl w:val="1"/>
    </w:pPr>
    <w:rPr>
      <w:rFonts w:ascii="Arial" w:hAnsi="Arial"/>
      <w:bCs/>
      <w:kern w:val="0"/>
      <w:sz w:val="20"/>
      <w:szCs w:val="32"/>
    </w:rPr>
  </w:style>
  <w:style w:type="paragraph" w:styleId="5">
    <w:name w:val="heading 3"/>
    <w:basedOn w:val="1"/>
    <w:next w:val="1"/>
    <w:link w:val="33"/>
    <w:unhideWhenUsed/>
    <w:qFormat/>
    <w:uiPriority w:val="9"/>
    <w:pPr>
      <w:keepNext/>
      <w:keepLines/>
      <w:spacing w:line="415" w:lineRule="auto"/>
      <w:ind w:left="-28" w:firstLine="198"/>
      <w:jc w:val="left"/>
      <w:outlineLvl w:val="2"/>
    </w:pPr>
    <w:rPr>
      <w:rFonts w:ascii="Calibri" w:hAnsi="Calibri" w:cs="Times New Roman"/>
      <w:b/>
      <w:bCs/>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rPr>
  </w:style>
  <w:style w:type="paragraph" w:styleId="6">
    <w:name w:val="Document Map"/>
    <w:basedOn w:val="1"/>
    <w:link w:val="24"/>
    <w:semiHidden/>
    <w:unhideWhenUsed/>
    <w:qFormat/>
    <w:uiPriority w:val="99"/>
    <w:rPr>
      <w:sz w:val="18"/>
      <w:szCs w:val="18"/>
    </w:rPr>
  </w:style>
  <w:style w:type="paragraph" w:styleId="7">
    <w:name w:val="annotation text"/>
    <w:basedOn w:val="1"/>
    <w:unhideWhenUsed/>
    <w:qFormat/>
    <w:uiPriority w:val="99"/>
    <w:pPr>
      <w:jc w:val="left"/>
    </w:pPr>
  </w:style>
  <w:style w:type="paragraph" w:styleId="8">
    <w:name w:val="Body Text 3"/>
    <w:basedOn w:val="1"/>
    <w:link w:val="21"/>
    <w:qFormat/>
    <w:uiPriority w:val="0"/>
    <w:pPr>
      <w:spacing w:after="120"/>
    </w:pPr>
    <w:rPr>
      <w:sz w:val="16"/>
      <w:szCs w:val="16"/>
    </w:rPr>
  </w:style>
  <w:style w:type="paragraph" w:styleId="9">
    <w:name w:val="Body Text"/>
    <w:basedOn w:val="1"/>
    <w:link w:val="27"/>
    <w:qFormat/>
    <w:uiPriority w:val="0"/>
    <w:pPr>
      <w:spacing w:after="120"/>
    </w:pPr>
    <w:rPr>
      <w:rFonts w:asciiTheme="minorHAnsi" w:hAnsiTheme="minorHAnsi" w:eastAsiaTheme="minorEastAsia" w:cstheme="minorBidi"/>
    </w:rPr>
  </w:style>
  <w:style w:type="paragraph" w:styleId="10">
    <w:name w:val="Plain Text"/>
    <w:basedOn w:val="1"/>
    <w:link w:val="20"/>
    <w:qFormat/>
    <w:uiPriority w:val="0"/>
    <w:rPr>
      <w:rFonts w:hAnsi="Courier New" w:cstheme="minorBidi"/>
      <w:szCs w:val="22"/>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kern w:val="0"/>
    </w:rPr>
  </w:style>
  <w:style w:type="character" w:styleId="16">
    <w:name w:val="page number"/>
    <w:basedOn w:val="15"/>
    <w:qFormat/>
    <w:uiPriority w:val="0"/>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2"/>
    <w:qFormat/>
    <w:uiPriority w:val="99"/>
    <w:rPr>
      <w:rFonts w:ascii="宋体" w:hAnsi="宋体" w:cs="宋体"/>
      <w:kern w:val="2"/>
      <w:sz w:val="18"/>
      <w:szCs w:val="18"/>
    </w:rPr>
  </w:style>
  <w:style w:type="character" w:customStyle="1" w:styleId="19">
    <w:name w:val="页脚 字符"/>
    <w:basedOn w:val="15"/>
    <w:link w:val="11"/>
    <w:qFormat/>
    <w:uiPriority w:val="99"/>
    <w:rPr>
      <w:sz w:val="18"/>
      <w:szCs w:val="18"/>
    </w:rPr>
  </w:style>
  <w:style w:type="character" w:customStyle="1" w:styleId="20">
    <w:name w:val="纯文本 字符"/>
    <w:link w:val="10"/>
    <w:qFormat/>
    <w:uiPriority w:val="0"/>
    <w:rPr>
      <w:rFonts w:ascii="宋体" w:hAnsi="Courier New" w:eastAsia="宋体"/>
    </w:rPr>
  </w:style>
  <w:style w:type="character" w:customStyle="1" w:styleId="21">
    <w:name w:val="正文文本 3 字符"/>
    <w:basedOn w:val="15"/>
    <w:link w:val="8"/>
    <w:qFormat/>
    <w:uiPriority w:val="0"/>
    <w:rPr>
      <w:rFonts w:ascii="Calibri" w:hAnsi="Calibri" w:eastAsia="宋体" w:cs="Times New Roman"/>
      <w:sz w:val="16"/>
      <w:szCs w:val="16"/>
    </w:rPr>
  </w:style>
  <w:style w:type="paragraph" w:styleId="22">
    <w:name w:val="List Paragraph"/>
    <w:basedOn w:val="1"/>
    <w:qFormat/>
    <w:uiPriority w:val="99"/>
    <w:pPr>
      <w:ind w:firstLine="420"/>
    </w:pPr>
  </w:style>
  <w:style w:type="character" w:customStyle="1" w:styleId="23">
    <w:name w:val="纯文本 Char1"/>
    <w:basedOn w:val="15"/>
    <w:semiHidden/>
    <w:qFormat/>
    <w:uiPriority w:val="99"/>
    <w:rPr>
      <w:rFonts w:ascii="宋体" w:hAnsi="Courier New" w:eastAsia="宋体" w:cs="Courier New"/>
      <w:szCs w:val="21"/>
    </w:rPr>
  </w:style>
  <w:style w:type="character" w:customStyle="1" w:styleId="24">
    <w:name w:val="文档结构图 字符"/>
    <w:basedOn w:val="15"/>
    <w:link w:val="6"/>
    <w:semiHidden/>
    <w:qFormat/>
    <w:uiPriority w:val="99"/>
    <w:rPr>
      <w:rFonts w:ascii="宋体" w:hAnsi="Calibri" w:eastAsia="宋体" w:cs="Times New Roman"/>
      <w:sz w:val="18"/>
      <w:szCs w:val="18"/>
    </w:rPr>
  </w:style>
  <w:style w:type="paragraph" w:customStyle="1" w:styleId="25">
    <w:name w:val="列出段落1"/>
    <w:basedOn w:val="1"/>
    <w:qFormat/>
    <w:uiPriority w:val="99"/>
    <w:pPr>
      <w:ind w:firstLine="420"/>
    </w:pPr>
    <w:rPr>
      <w:rFonts w:ascii="Times New Roman" w:hAnsi="Times New Roman"/>
    </w:rPr>
  </w:style>
  <w:style w:type="paragraph" w:customStyle="1" w:styleId="26">
    <w:name w:val="_Style 18"/>
    <w:basedOn w:val="1"/>
    <w:next w:val="22"/>
    <w:qFormat/>
    <w:uiPriority w:val="99"/>
    <w:pPr>
      <w:ind w:firstLine="420"/>
    </w:pPr>
    <w:rPr>
      <w:rFonts w:ascii="Times New Roman" w:hAnsi="Times New Roman"/>
    </w:rPr>
  </w:style>
  <w:style w:type="character" w:customStyle="1" w:styleId="27">
    <w:name w:val="正文文本 字符"/>
    <w:link w:val="9"/>
    <w:qFormat/>
    <w:uiPriority w:val="0"/>
    <w:rPr>
      <w:szCs w:val="24"/>
    </w:rPr>
  </w:style>
  <w:style w:type="character" w:customStyle="1" w:styleId="28">
    <w:name w:val="正文文本 Char"/>
    <w:basedOn w:val="15"/>
    <w:semiHidden/>
    <w:qFormat/>
    <w:uiPriority w:val="99"/>
    <w:rPr>
      <w:rFonts w:ascii="Calibri" w:hAnsi="Calibri" w:eastAsia="宋体" w:cs="Times New Roman"/>
      <w:szCs w:val="20"/>
    </w:rPr>
  </w:style>
  <w:style w:type="character" w:customStyle="1" w:styleId="29">
    <w:name w:val="标题 2 字符"/>
    <w:basedOn w:val="15"/>
    <w:link w:val="4"/>
    <w:qFormat/>
    <w:uiPriority w:val="0"/>
    <w:rPr>
      <w:rFonts w:ascii="Arial" w:hAnsi="Arial" w:eastAsia="宋体" w:cs="Times New Roman"/>
      <w:bCs/>
      <w:kern w:val="0"/>
      <w:sz w:val="20"/>
      <w:szCs w:val="32"/>
    </w:rPr>
  </w:style>
  <w:style w:type="character" w:customStyle="1" w:styleId="30">
    <w:name w:val="标题 1 字符"/>
    <w:basedOn w:val="15"/>
    <w:link w:val="3"/>
    <w:qFormat/>
    <w:uiPriority w:val="9"/>
    <w:rPr>
      <w:rFonts w:ascii="宋体" w:hAnsi="宋体" w:cs="宋体"/>
      <w:b/>
      <w:bCs/>
      <w:kern w:val="44"/>
      <w:sz w:val="32"/>
      <w:szCs w:val="32"/>
    </w:rPr>
  </w:style>
  <w:style w:type="paragraph" w:customStyle="1" w:styleId="31">
    <w:name w:val="表格"/>
    <w:basedOn w:val="1"/>
    <w:link w:val="32"/>
    <w:qFormat/>
    <w:uiPriority w:val="0"/>
    <w:pPr>
      <w:spacing w:line="360" w:lineRule="auto"/>
      <w:ind w:left="-28" w:firstLine="0" w:firstLineChars="0"/>
      <w:jc w:val="center"/>
    </w:pPr>
    <w:rPr>
      <w:rFonts w:ascii="Times New Roman" w:hAnsi="Times New Roman" w:cs="Times New Roman"/>
      <w:color w:val="EE0000"/>
      <w:sz w:val="21"/>
      <w:szCs w:val="21"/>
    </w:rPr>
  </w:style>
  <w:style w:type="character" w:customStyle="1" w:styleId="32">
    <w:name w:val="表格 字符"/>
    <w:basedOn w:val="15"/>
    <w:link w:val="31"/>
    <w:qFormat/>
    <w:uiPriority w:val="0"/>
    <w:rPr>
      <w:color w:val="EE0000"/>
      <w:kern w:val="2"/>
      <w:sz w:val="21"/>
      <w:szCs w:val="21"/>
    </w:rPr>
  </w:style>
  <w:style w:type="character" w:customStyle="1" w:styleId="33">
    <w:name w:val="标题 3 字符"/>
    <w:basedOn w:val="15"/>
    <w:link w:val="5"/>
    <w:qFormat/>
    <w:uiPriority w:val="9"/>
    <w:rPr>
      <w:rFonts w:ascii="Calibri" w:hAnsi="Calibri"/>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8786</Words>
  <Characters>9254</Characters>
  <Lines>285</Lines>
  <Paragraphs>285</Paragraphs>
  <TotalTime>0</TotalTime>
  <ScaleCrop>false</ScaleCrop>
  <LinksUpToDate>false</LinksUpToDate>
  <CharactersWithSpaces>9403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2024-12-15T13:41:00Z</dcterms:created>
  <dc:creator>mi Jess</dc:creator>
  <cp:lastModifiedBy>朱丽</cp:lastModifiedBy>
  <dcterms:modified xsi:type="dcterms:W3CDTF">2026-05-20T08:10:08Z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766A30722BC64024BA4728B59AD9E57E_13</vt:lpwstr>
  </property>
  <property fmtid="{D5CDD505-2E9C-101B-9397-08002B2CF9AE}" pid="4" name="KSOTemplateDocerSaveRecord">
    <vt:lpwstr>eyJoZGlkIjoiNjc3ZDU4NDg0ZmE2MTAzZTY0MGM2NjhjYjJmNTRkNjEiLCJ1c2VySWQiOiI3MjEwOTQ1MTcifQ==</vt:lpwstr>
  </property>
</Properties>
</file>